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607714" w14:textId="11CD3C88" w:rsidR="00345181" w:rsidRPr="00CE382C" w:rsidRDefault="00C14221" w:rsidP="00345181">
      <w:pPr>
        <w:pStyle w:val="Heading1"/>
        <w:spacing w:before="0"/>
        <w:jc w:val="center"/>
        <w:rPr>
          <w:rFonts w:ascii="Times New Roman" w:hAnsi="Times New Roman" w:cs="Times New Roman"/>
          <w:b/>
          <w:bCs/>
          <w:color w:val="auto"/>
          <w:sz w:val="24"/>
          <w:szCs w:val="24"/>
        </w:rPr>
      </w:pPr>
      <w:bookmarkStart w:id="0" w:name="_Hlk138942641"/>
      <w:bookmarkStart w:id="1" w:name="_Toc101646943"/>
      <w:bookmarkStart w:id="2" w:name="_Hlk125628943"/>
      <w:r>
        <w:rPr>
          <w:rFonts w:ascii="Times New Roman" w:hAnsi="Times New Roman" w:cs="Times New Roman"/>
          <w:b/>
          <w:bCs/>
          <w:color w:val="auto"/>
          <w:sz w:val="24"/>
          <w:szCs w:val="24"/>
        </w:rPr>
        <w:t>D</w:t>
      </w:r>
      <w:r w:rsidR="002667DC">
        <w:rPr>
          <w:rFonts w:ascii="Times New Roman" w:hAnsi="Times New Roman" w:cs="Times New Roman"/>
          <w:b/>
          <w:bCs/>
          <w:color w:val="auto"/>
          <w:sz w:val="24"/>
          <w:szCs w:val="24"/>
        </w:rPr>
        <w:t xml:space="preserve">oes environmental education work differently across sociopolitical contexts in the United States? PART I. </w:t>
      </w:r>
      <w:r w:rsidR="0031647C">
        <w:rPr>
          <w:rFonts w:ascii="Times New Roman" w:hAnsi="Times New Roman" w:cs="Times New Roman"/>
          <w:b/>
          <w:bCs/>
          <w:color w:val="auto"/>
          <w:sz w:val="24"/>
          <w:szCs w:val="24"/>
        </w:rPr>
        <w:t xml:space="preserve">Exploration of </w:t>
      </w:r>
      <w:r w:rsidR="002667DC">
        <w:rPr>
          <w:rFonts w:ascii="Times New Roman" w:hAnsi="Times New Roman" w:cs="Times New Roman"/>
          <w:b/>
          <w:bCs/>
          <w:color w:val="auto"/>
          <w:sz w:val="24"/>
          <w:szCs w:val="24"/>
        </w:rPr>
        <w:t>outcomes for adolescent youth</w:t>
      </w:r>
      <w:bookmarkEnd w:id="0"/>
      <w:r w:rsidR="002667DC">
        <w:rPr>
          <w:rFonts w:ascii="Times New Roman" w:hAnsi="Times New Roman" w:cs="Times New Roman"/>
          <w:b/>
          <w:bCs/>
          <w:color w:val="auto"/>
          <w:sz w:val="24"/>
          <w:szCs w:val="24"/>
        </w:rPr>
        <w:t xml:space="preserve"> </w:t>
      </w:r>
      <w:bookmarkEnd w:id="1"/>
    </w:p>
    <w:p w14:paraId="3FC52E41" w14:textId="77777777" w:rsidR="00345181" w:rsidRDefault="00345181" w:rsidP="00345181">
      <w:pPr>
        <w:jc w:val="center"/>
        <w:rPr>
          <w:b/>
          <w:bCs/>
        </w:rPr>
      </w:pPr>
    </w:p>
    <w:p w14:paraId="0A8C5459" w14:textId="29FDC252" w:rsidR="00345181" w:rsidRDefault="00CB3341" w:rsidP="00345181">
      <w:pPr>
        <w:jc w:val="center"/>
      </w:pPr>
      <w:r>
        <w:t>Emily G. Thorpe, Virginia Tech</w:t>
      </w:r>
    </w:p>
    <w:p w14:paraId="6D2DFA54" w14:textId="691F8F41" w:rsidR="00CB3341" w:rsidRDefault="00CB3341" w:rsidP="00345181">
      <w:pPr>
        <w:jc w:val="center"/>
      </w:pPr>
      <w:r>
        <w:t>Marc. J. Stern</w:t>
      </w:r>
      <w:r w:rsidR="00082A36">
        <w:t>*</w:t>
      </w:r>
      <w:r>
        <w:t>, Virginia Tech</w:t>
      </w:r>
    </w:p>
    <w:p w14:paraId="3CA81E65" w14:textId="6B10BBED" w:rsidR="00CB3341" w:rsidRDefault="00CB3341" w:rsidP="00345181">
      <w:pPr>
        <w:jc w:val="center"/>
      </w:pPr>
      <w:r>
        <w:t>Robert B. Powell, Clemson University</w:t>
      </w:r>
    </w:p>
    <w:p w14:paraId="7C065D1E" w14:textId="04841D84" w:rsidR="00CB3341" w:rsidRDefault="00CB3341" w:rsidP="00345181">
      <w:pPr>
        <w:jc w:val="center"/>
      </w:pPr>
      <w:r>
        <w:t>Tyler J. Hemby, Clemson University</w:t>
      </w:r>
    </w:p>
    <w:p w14:paraId="5B6CFFEF" w14:textId="779C9257" w:rsidR="00CB3341" w:rsidRDefault="00CB3341" w:rsidP="00CB3341">
      <w:bookmarkStart w:id="3" w:name="_Hlk125628988"/>
    </w:p>
    <w:bookmarkEnd w:id="2"/>
    <w:p w14:paraId="4CA71DEC" w14:textId="7A6ED481" w:rsidR="00CB3341" w:rsidRDefault="00CB3341" w:rsidP="00CB3341">
      <w:r>
        <w:t xml:space="preserve">* Corresponding author: </w:t>
      </w:r>
      <w:hyperlink r:id="rId8" w:history="1">
        <w:r w:rsidRPr="00D8359A">
          <w:rPr>
            <w:rStyle w:val="Hyperlink"/>
          </w:rPr>
          <w:t>mjstern@vt.edu</w:t>
        </w:r>
      </w:hyperlink>
      <w:r>
        <w:t xml:space="preserve"> </w:t>
      </w:r>
    </w:p>
    <w:p w14:paraId="5C67AE91" w14:textId="10A0C69F" w:rsidR="0066174E" w:rsidRDefault="0066174E" w:rsidP="00CB3341"/>
    <w:p w14:paraId="02F0825B" w14:textId="4CC0A64D" w:rsidR="0066174E" w:rsidRDefault="0066174E" w:rsidP="00CB3341">
      <w:r>
        <w:t xml:space="preserve">Citation: </w:t>
      </w:r>
    </w:p>
    <w:p w14:paraId="15B8B81C" w14:textId="612777A9" w:rsidR="0066174E" w:rsidRPr="00DC058C" w:rsidRDefault="0066174E" w:rsidP="00CB3341">
      <w:pPr>
        <w:rPr>
          <w:sz w:val="22"/>
          <w:szCs w:val="22"/>
        </w:rPr>
      </w:pPr>
      <w:r w:rsidRPr="00C71132">
        <w:rPr>
          <w:sz w:val="22"/>
          <w:szCs w:val="22"/>
        </w:rPr>
        <w:t>Thorpe, E.G.*, M.J. Stern, R.B. Powell, and T.J. Hemby (in press).</w:t>
      </w:r>
      <w:r w:rsidRPr="00C71132">
        <w:rPr>
          <w:bCs/>
          <w:sz w:val="22"/>
          <w:szCs w:val="22"/>
        </w:rPr>
        <w:t xml:space="preserve"> Does environmental education work differently across sociopolitical contexts in the United States? PART I. Exploration of outcomes for adolescent youth. </w:t>
      </w:r>
      <w:r w:rsidRPr="00C71132">
        <w:rPr>
          <w:bCs/>
          <w:i/>
          <w:sz w:val="22"/>
          <w:szCs w:val="22"/>
        </w:rPr>
        <w:t>Environmental Education Research</w:t>
      </w:r>
      <w:r w:rsidRPr="00C71132">
        <w:rPr>
          <w:bCs/>
          <w:sz w:val="22"/>
          <w:szCs w:val="22"/>
        </w:rPr>
        <w:t>.</w:t>
      </w:r>
      <w:r w:rsidR="00DC058C">
        <w:rPr>
          <w:bCs/>
          <w:sz w:val="22"/>
          <w:szCs w:val="22"/>
        </w:rPr>
        <w:t xml:space="preserve"> </w:t>
      </w:r>
      <w:r w:rsidR="00DC058C" w:rsidRPr="00DC058C">
        <w:rPr>
          <w:bCs/>
          <w:sz w:val="22"/>
          <w:szCs w:val="22"/>
        </w:rPr>
        <w:t xml:space="preserve">Doi: </w:t>
      </w:r>
      <w:r w:rsidR="00DC058C" w:rsidRPr="00DC058C">
        <w:rPr>
          <w:color w:val="1F1F1F"/>
          <w:sz w:val="22"/>
          <w:szCs w:val="22"/>
          <w:shd w:val="clear" w:color="auto" w:fill="FFFFFF"/>
        </w:rPr>
        <w:t>10.1080/13504622.2023.2273795</w:t>
      </w:r>
    </w:p>
    <w:p w14:paraId="36436BCD" w14:textId="08DB46C9" w:rsidR="00CB3341" w:rsidRDefault="0066174E" w:rsidP="0066174E">
      <w:pPr>
        <w:tabs>
          <w:tab w:val="left" w:pos="6345"/>
        </w:tabs>
      </w:pPr>
      <w:r>
        <w:tab/>
      </w:r>
      <w:bookmarkStart w:id="4" w:name="_GoBack"/>
      <w:bookmarkEnd w:id="4"/>
    </w:p>
    <w:p w14:paraId="5CD11FEB" w14:textId="5DC25D5A" w:rsidR="00CB3341" w:rsidRPr="00CB3341" w:rsidRDefault="00345181" w:rsidP="00CB3341">
      <w:pPr>
        <w:pStyle w:val="Heading2"/>
        <w:spacing w:before="0"/>
        <w:rPr>
          <w:rFonts w:ascii="Times New Roman" w:hAnsi="Times New Roman" w:cs="Times New Roman"/>
          <w:b/>
          <w:bCs/>
          <w:color w:val="auto"/>
          <w:sz w:val="24"/>
          <w:szCs w:val="24"/>
        </w:rPr>
      </w:pPr>
      <w:bookmarkStart w:id="5" w:name="_Toc101646944"/>
      <w:r w:rsidRPr="00CE382C">
        <w:rPr>
          <w:rFonts w:ascii="Times New Roman" w:hAnsi="Times New Roman" w:cs="Times New Roman"/>
          <w:b/>
          <w:bCs/>
          <w:color w:val="auto"/>
          <w:sz w:val="24"/>
          <w:szCs w:val="24"/>
        </w:rPr>
        <w:t>Abstract</w:t>
      </w:r>
      <w:bookmarkEnd w:id="5"/>
    </w:p>
    <w:bookmarkEnd w:id="3"/>
    <w:p w14:paraId="1D763186" w14:textId="77869FB3" w:rsidR="00345181" w:rsidRDefault="00345181" w:rsidP="00694ED9">
      <w:pPr>
        <w:ind w:firstLine="720"/>
        <w:jc w:val="both"/>
      </w:pPr>
      <w:r w:rsidRPr="0053612E">
        <w:t xml:space="preserve">In the United States, </w:t>
      </w:r>
      <w:r w:rsidR="009A0416">
        <w:t xml:space="preserve">the two </w:t>
      </w:r>
      <w:r w:rsidR="005E082E">
        <w:t xml:space="preserve">main </w:t>
      </w:r>
      <w:r w:rsidR="009A0416">
        <w:t>political parties</w:t>
      </w:r>
      <w:r w:rsidR="005E082E">
        <w:t>, Democrats and Republicans,</w:t>
      </w:r>
      <w:r w:rsidRPr="00E23B7B">
        <w:t xml:space="preserve"> have become increasingly polarized, </w:t>
      </w:r>
      <w:r w:rsidR="00227A88">
        <w:t>including</w:t>
      </w:r>
      <w:r w:rsidR="00954422">
        <w:t xml:space="preserve"> with regard to</w:t>
      </w:r>
      <w:r w:rsidRPr="00E23B7B">
        <w:t xml:space="preserve"> environmental issues. As part of a national study of environmentally focused single-day field trips for </w:t>
      </w:r>
      <w:r w:rsidR="00FB2848">
        <w:t xml:space="preserve">early </w:t>
      </w:r>
      <w:r w:rsidRPr="00E23B7B">
        <w:t xml:space="preserve">adolescent youth in 2018, we </w:t>
      </w:r>
      <w:r w:rsidR="002E7E16">
        <w:t xml:space="preserve">conducted exploratory </w:t>
      </w:r>
      <w:r w:rsidR="0059742C">
        <w:t>research</w:t>
      </w:r>
      <w:r w:rsidR="002E7E16">
        <w:t xml:space="preserve"> to </w:t>
      </w:r>
      <w:r w:rsidRPr="00E23B7B">
        <w:t>examine how outcomes differed for public school students from different sociopolitical contexts (i.e.,</w:t>
      </w:r>
      <w:r w:rsidR="001B7008">
        <w:t xml:space="preserve"> predominantly</w:t>
      </w:r>
      <w:r w:rsidRPr="00E23B7B">
        <w:t xml:space="preserve"> Democratic, Republican, or mixed). Students from wealthier Democratic contexts exhibited </w:t>
      </w:r>
      <w:proofErr w:type="gramStart"/>
      <w:r w:rsidRPr="00E23B7B">
        <w:t>less</w:t>
      </w:r>
      <w:proofErr w:type="gramEnd"/>
      <w:r w:rsidRPr="00E23B7B">
        <w:t xml:space="preserve"> positive outcomes</w:t>
      </w:r>
      <w:r w:rsidR="001B1792">
        <w:t>, measured as self-reported changes in environmental literacy,</w:t>
      </w:r>
      <w:r w:rsidRPr="00E23B7B">
        <w:t xml:space="preserve"> compared to others. </w:t>
      </w:r>
      <w:bookmarkStart w:id="6" w:name="_Hlk125629032"/>
      <w:r w:rsidR="00954422">
        <w:t>The</w:t>
      </w:r>
      <w:r w:rsidR="001B1792">
        <w:t xml:space="preserve"> findings suggest that single-day EE field trips</w:t>
      </w:r>
      <w:r w:rsidR="0059742C">
        <w:t xml:space="preserve"> in the United States</w:t>
      </w:r>
      <w:r w:rsidR="00A13E47">
        <w:t>, in their current forms,</w:t>
      </w:r>
      <w:r w:rsidR="001B1792">
        <w:t xml:space="preserve"> may be particularly valuable </w:t>
      </w:r>
      <w:r w:rsidR="002667DC">
        <w:t>in lower income</w:t>
      </w:r>
      <w:r w:rsidR="00F96ED7">
        <w:t xml:space="preserve"> </w:t>
      </w:r>
      <w:r w:rsidR="0031647C">
        <w:t xml:space="preserve">and </w:t>
      </w:r>
      <w:r w:rsidR="00F96ED7">
        <w:t>more politically conservative</w:t>
      </w:r>
      <w:r w:rsidR="0031647C">
        <w:t xml:space="preserve"> </w:t>
      </w:r>
      <w:r w:rsidR="00954422">
        <w:t>context</w:t>
      </w:r>
      <w:r w:rsidR="00082A36">
        <w:t>s, possibly due to</w:t>
      </w:r>
      <w:r w:rsidR="00A13E47">
        <w:t xml:space="preserve"> the degree of novelty they </w:t>
      </w:r>
      <w:r w:rsidR="007E4919">
        <w:t xml:space="preserve">may </w:t>
      </w:r>
      <w:r w:rsidR="00A13E47">
        <w:t>provide to these audiences. Meanwhile, EE field trips for students from wealthier Democratic contexts</w:t>
      </w:r>
      <w:r w:rsidR="00082A36">
        <w:t xml:space="preserve"> </w:t>
      </w:r>
      <w:r w:rsidR="0059742C">
        <w:t xml:space="preserve">may </w:t>
      </w:r>
      <w:r w:rsidR="000520A0">
        <w:t xml:space="preserve">provide reinforcement rather than </w:t>
      </w:r>
      <w:r w:rsidR="00D072D3">
        <w:t xml:space="preserve">meaningful </w:t>
      </w:r>
      <w:r w:rsidR="000520A0">
        <w:t>shift</w:t>
      </w:r>
      <w:r w:rsidR="00D072D3">
        <w:t xml:space="preserve">s in </w:t>
      </w:r>
      <w:r w:rsidR="000520A0">
        <w:t>environmental literacy</w:t>
      </w:r>
      <w:r w:rsidR="00D072D3">
        <w:t>, suggesting a need for more novel approaches for these audiences.</w:t>
      </w:r>
      <w:bookmarkEnd w:id="6"/>
    </w:p>
    <w:p w14:paraId="54730DF8" w14:textId="77777777" w:rsidR="00694ED9" w:rsidRDefault="00694ED9" w:rsidP="00694ED9">
      <w:pPr>
        <w:ind w:firstLine="720"/>
        <w:jc w:val="both"/>
        <w:rPr>
          <w:i/>
          <w:iCs/>
        </w:rPr>
      </w:pPr>
    </w:p>
    <w:p w14:paraId="5A569C59" w14:textId="206D2803" w:rsidR="00345181" w:rsidRDefault="00345181" w:rsidP="00345181">
      <w:pPr>
        <w:jc w:val="both"/>
      </w:pPr>
      <w:bookmarkStart w:id="7" w:name="_Hlk125629102"/>
      <w:r w:rsidRPr="00E35288">
        <w:rPr>
          <w:i/>
          <w:iCs/>
        </w:rPr>
        <w:t xml:space="preserve">Keywords: </w:t>
      </w:r>
      <w:r w:rsidR="00B22A48">
        <w:t xml:space="preserve">Democrats, </w:t>
      </w:r>
      <w:r w:rsidR="008C45B3">
        <w:t>field trips,</w:t>
      </w:r>
      <w:r>
        <w:t xml:space="preserve"> </w:t>
      </w:r>
      <w:r w:rsidR="00490BE5">
        <w:t>adolescents</w:t>
      </w:r>
      <w:r w:rsidR="00B22A48">
        <w:t xml:space="preserve">, </w:t>
      </w:r>
      <w:r w:rsidR="00DF3415">
        <w:t>politics</w:t>
      </w:r>
      <w:r w:rsidR="00A30815">
        <w:t>, Republicans</w:t>
      </w:r>
    </w:p>
    <w:p w14:paraId="39329749" w14:textId="35D56EBB" w:rsidR="00623B2D" w:rsidRDefault="00623B2D" w:rsidP="00345181">
      <w:pPr>
        <w:jc w:val="both"/>
      </w:pPr>
    </w:p>
    <w:p w14:paraId="1B2DE6C9" w14:textId="77777777" w:rsidR="00345181" w:rsidRPr="00D83170" w:rsidRDefault="00345181" w:rsidP="00345181">
      <w:pPr>
        <w:outlineLvl w:val="1"/>
        <w:rPr>
          <w:b/>
          <w:bCs/>
        </w:rPr>
      </w:pPr>
      <w:bookmarkStart w:id="8" w:name="_Toc101646945"/>
      <w:r w:rsidRPr="00D83170">
        <w:rPr>
          <w:b/>
          <w:bCs/>
        </w:rPr>
        <w:t>Introduction</w:t>
      </w:r>
      <w:bookmarkEnd w:id="8"/>
    </w:p>
    <w:bookmarkEnd w:id="7"/>
    <w:p w14:paraId="4AFB78D9" w14:textId="0FEE7A14" w:rsidR="00345181" w:rsidRPr="005E6208" w:rsidRDefault="00345181" w:rsidP="00345181">
      <w:pPr>
        <w:ind w:firstLine="720"/>
        <w:jc w:val="both"/>
      </w:pPr>
      <w:r w:rsidRPr="005E6208">
        <w:t>Environmental education (EE) aims to develop environmental literacy</w:t>
      </w:r>
      <w:r w:rsidR="002667DC">
        <w:t>, which refers to the</w:t>
      </w:r>
      <w:r w:rsidRPr="005E6208">
        <w:t xml:space="preserve"> knowledge, skills, attitudes, dispositions</w:t>
      </w:r>
      <w:r w:rsidR="0028533B">
        <w:t>, and competencies</w:t>
      </w:r>
      <w:r w:rsidRPr="005E6208">
        <w:t xml:space="preserve"> necessary to address envir</w:t>
      </w:r>
      <w:r w:rsidR="005673C1">
        <w:t>onmental problems (</w:t>
      </w:r>
      <w:r w:rsidR="0028533B">
        <w:t xml:space="preserve">Hollweg et al., 2011; </w:t>
      </w:r>
      <w:r w:rsidR="005673C1">
        <w:t>UNESCO, 1977</w:t>
      </w:r>
      <w:r w:rsidRPr="005E6208">
        <w:t>). However, environmental issues and concerns, such as those that may be the focus of many EE programs, have become increasingly politicized in recent decades</w:t>
      </w:r>
      <w:r w:rsidR="00FB2848">
        <w:t xml:space="preserve"> in the U.S.</w:t>
      </w:r>
      <w:r w:rsidRPr="005E6208">
        <w:t xml:space="preserve"> (Dunlap et al., 2016). As partisan polarization between</w:t>
      </w:r>
      <w:r w:rsidR="00FB2848">
        <w:t xml:space="preserve"> political parties in the U.S.</w:t>
      </w:r>
      <w:r w:rsidRPr="005E6208">
        <w:t xml:space="preserve"> has intensified since the 1970s, support for </w:t>
      </w:r>
      <w:r w:rsidR="00F26687">
        <w:t>environmental protection</w:t>
      </w:r>
      <w:r w:rsidRPr="005E6208">
        <w:t xml:space="preserve"> has declined considerably amongst those identifying as </w:t>
      </w:r>
      <w:r w:rsidR="00FB2848">
        <w:t>Republican</w:t>
      </w:r>
      <w:r w:rsidRPr="005E6208">
        <w:t>, largely due to messaging at the level of political elites (</w:t>
      </w:r>
      <w:r w:rsidR="005D3CF6" w:rsidRPr="005E6208">
        <w:t>Abramowitz &amp; Saunders, 2006; Dunlap et al., 2016</w:t>
      </w:r>
      <w:r w:rsidR="005D3CF6">
        <w:t xml:space="preserve">; </w:t>
      </w:r>
      <w:r w:rsidR="00EB2D9C">
        <w:t xml:space="preserve">Egan </w:t>
      </w:r>
      <w:proofErr w:type="gramStart"/>
      <w:r w:rsidR="00EB2D9C">
        <w:t>&amp;  Mullin</w:t>
      </w:r>
      <w:proofErr w:type="gramEnd"/>
      <w:r w:rsidR="00EB2D9C">
        <w:t xml:space="preserve">, 2017; </w:t>
      </w:r>
      <w:r w:rsidRPr="005E6208">
        <w:t xml:space="preserve">Jacobson, 2012; </w:t>
      </w:r>
      <w:proofErr w:type="spellStart"/>
      <w:r w:rsidRPr="005E6208">
        <w:t>Levendusky</w:t>
      </w:r>
      <w:proofErr w:type="spellEnd"/>
      <w:r w:rsidRPr="005E6208">
        <w:t>, 2009;</w:t>
      </w:r>
      <w:r w:rsidR="005D3CF6">
        <w:t xml:space="preserve"> Walsh &amp; Tsurusaki,2018</w:t>
      </w:r>
      <w:r w:rsidRPr="005E6208">
        <w:t>).</w:t>
      </w:r>
      <w:r w:rsidR="001950B5">
        <w:t xml:space="preserve"> </w:t>
      </w:r>
      <w:r w:rsidRPr="005E6208">
        <w:t xml:space="preserve">Coinciding with this political polarization, the </w:t>
      </w:r>
      <w:r w:rsidR="008A1739">
        <w:t>United States</w:t>
      </w:r>
      <w:r w:rsidRPr="005E6208">
        <w:t xml:space="preserve"> electorate has become increasingly geographically </w:t>
      </w:r>
      <w:r w:rsidR="0038661A">
        <w:t>segregated</w:t>
      </w:r>
      <w:r w:rsidRPr="005E6208">
        <w:t xml:space="preserve">, with </w:t>
      </w:r>
      <w:r w:rsidRPr="00251056">
        <w:t>Democrats and Republicans clustering into likeminded communities (Bishop, 2008; Johnston et al., 2016</w:t>
      </w:r>
      <w:r>
        <w:t>, 2020</w:t>
      </w:r>
      <w:r w:rsidRPr="00251056">
        <w:t xml:space="preserve">). </w:t>
      </w:r>
      <w:r w:rsidR="001B1792">
        <w:t>I</w:t>
      </w:r>
      <w:r w:rsidRPr="00251056">
        <w:t xml:space="preserve">ncome levels add further nuance to political identity formation, with wealthier groups of Democrats and Republicans exhibiting somewhat different political views than their </w:t>
      </w:r>
      <w:proofErr w:type="gramStart"/>
      <w:r w:rsidR="001B1792">
        <w:t>less</w:t>
      </w:r>
      <w:proofErr w:type="gramEnd"/>
      <w:r w:rsidR="001B1792">
        <w:t xml:space="preserve"> wealthy</w:t>
      </w:r>
      <w:r w:rsidRPr="00251056">
        <w:t xml:space="preserve"> counterparts (</w:t>
      </w:r>
      <w:proofErr w:type="spellStart"/>
      <w:r w:rsidRPr="00251056">
        <w:t>Kitschelt</w:t>
      </w:r>
      <w:proofErr w:type="spellEnd"/>
      <w:r w:rsidRPr="00251056">
        <w:t xml:space="preserve"> &amp; Rehm, 2019; Pew Research Center, 2021; AP-NORC, 2015).</w:t>
      </w:r>
      <w:r>
        <w:t xml:space="preserve"> </w:t>
      </w:r>
    </w:p>
    <w:p w14:paraId="2C57EFC7" w14:textId="7B2C6606" w:rsidR="00345181" w:rsidRPr="005E6208" w:rsidRDefault="00E132F1" w:rsidP="00345181">
      <w:pPr>
        <w:ind w:firstLine="720"/>
        <w:jc w:val="both"/>
      </w:pPr>
      <w:r>
        <w:lastRenderedPageBreak/>
        <w:t>T</w:t>
      </w:r>
      <w:r w:rsidR="00345181" w:rsidRPr="005E6208">
        <w:t xml:space="preserve">his politically divided climate and these politically segregated communities </w:t>
      </w:r>
      <w:r>
        <w:t xml:space="preserve">serve as the settings in which </w:t>
      </w:r>
      <w:r w:rsidR="00345181" w:rsidRPr="005E6208">
        <w:t xml:space="preserve">today’s EE programs strive to </w:t>
      </w:r>
      <w:r w:rsidR="00430F23">
        <w:t>develop</w:t>
      </w:r>
      <w:r w:rsidR="00345181" w:rsidRPr="005E6208">
        <w:t xml:space="preserve"> environmental literacy in learners.</w:t>
      </w:r>
      <w:r w:rsidR="00345181">
        <w:t xml:space="preserve"> Although some studies have examined the social and political dimensions of EE program curricula </w:t>
      </w:r>
      <w:r w:rsidR="00345181" w:rsidRPr="00B93CDF">
        <w:t>(McKeo</w:t>
      </w:r>
      <w:r w:rsidR="00345181">
        <w:t>w</w:t>
      </w:r>
      <w:r w:rsidR="00345181" w:rsidRPr="00B93CDF">
        <w:t xml:space="preserve">n-Ice &amp; Dendinger, 2000; Van </w:t>
      </w:r>
      <w:proofErr w:type="spellStart"/>
      <w:r w:rsidR="00345181" w:rsidRPr="00B93CDF">
        <w:t>Poeck</w:t>
      </w:r>
      <w:proofErr w:type="spellEnd"/>
      <w:r w:rsidR="00345181" w:rsidRPr="00B93CDF">
        <w:t xml:space="preserve"> &amp; </w:t>
      </w:r>
      <w:proofErr w:type="spellStart"/>
      <w:r w:rsidR="00345181" w:rsidRPr="00B93CDF">
        <w:t>Östman</w:t>
      </w:r>
      <w:proofErr w:type="spellEnd"/>
      <w:r w:rsidR="00345181" w:rsidRPr="00B93CDF">
        <w:t xml:space="preserve">, 2018; </w:t>
      </w:r>
      <w:proofErr w:type="spellStart"/>
      <w:r w:rsidR="00345181" w:rsidRPr="00B93CDF">
        <w:t>Sch</w:t>
      </w:r>
      <w:r w:rsidR="00345181">
        <w:t>ild</w:t>
      </w:r>
      <w:proofErr w:type="spellEnd"/>
      <w:r w:rsidR="00345181">
        <w:t>, 2016; Slimani et al., 2021</w:t>
      </w:r>
      <w:r w:rsidR="005D3CF6">
        <w:t xml:space="preserve">; Walsh &amp; </w:t>
      </w:r>
      <w:proofErr w:type="spellStart"/>
      <w:r w:rsidR="005D3CF6">
        <w:t>Tsurusaki</w:t>
      </w:r>
      <w:proofErr w:type="spellEnd"/>
      <w:r w:rsidR="005D3CF6">
        <w:t>, 2018</w:t>
      </w:r>
      <w:r w:rsidR="00345181">
        <w:t>)</w:t>
      </w:r>
      <w:r>
        <w:t>,</w:t>
      </w:r>
      <w:r w:rsidR="00345181">
        <w:t xml:space="preserve"> and others have demonstrated the influence of socioeconomic status on student outcomes (Stern et al., 2022), w</w:t>
      </w:r>
      <w:r w:rsidR="00345181" w:rsidRPr="00B93CDF">
        <w:t xml:space="preserve">e </w:t>
      </w:r>
      <w:r w:rsidR="00345181">
        <w:t>have been</w:t>
      </w:r>
      <w:r w:rsidR="00345181" w:rsidRPr="00B93CDF">
        <w:t xml:space="preserve"> unable to find any studies that explicitly examine the relationship between students’ sociopolitical context and EE learning outcomes at a national scale. </w:t>
      </w:r>
      <w:r w:rsidR="00345181" w:rsidRPr="005E6208">
        <w:t xml:space="preserve">This study represents a preliminary step in identifying how </w:t>
      </w:r>
      <w:r w:rsidR="00FB2848">
        <w:t xml:space="preserve">student learning </w:t>
      </w:r>
      <w:r w:rsidR="00345181" w:rsidRPr="005E6208">
        <w:t>outcomes</w:t>
      </w:r>
      <w:r w:rsidR="00FB2848">
        <w:t xml:space="preserve"> associated with participation in EE field</w:t>
      </w:r>
      <w:r w:rsidR="00DC3408">
        <w:t xml:space="preserve"> </w:t>
      </w:r>
      <w:r w:rsidR="00FB2848">
        <w:t>trips</w:t>
      </w:r>
      <w:r w:rsidR="00345181" w:rsidRPr="005E6208">
        <w:t xml:space="preserve"> might differ in different sociopolitical contexts in the U.S. and </w:t>
      </w:r>
      <w:r w:rsidR="00345181">
        <w:t xml:space="preserve">how sociopolitical context and socioeconomic context may interact to </w:t>
      </w:r>
      <w:r w:rsidR="000520A0">
        <w:t xml:space="preserve">potentially influence </w:t>
      </w:r>
      <w:r w:rsidR="00345181">
        <w:t xml:space="preserve">outcomes for learners. </w:t>
      </w:r>
    </w:p>
    <w:p w14:paraId="4496820E" w14:textId="3D364C5F" w:rsidR="00345181" w:rsidRPr="00C10956" w:rsidRDefault="00430F23" w:rsidP="00AD655A">
      <w:pPr>
        <w:ind w:firstLine="720"/>
        <w:jc w:val="both"/>
      </w:pPr>
      <w:r>
        <w:t>We focus on m</w:t>
      </w:r>
      <w:r w:rsidR="00345181" w:rsidRPr="005E6208">
        <w:t>iddle school-aged students (grades 5-8; ages 10-14)</w:t>
      </w:r>
      <w:r>
        <w:t xml:space="preserve">, who serve as a common audience for EE </w:t>
      </w:r>
      <w:r w:rsidR="00FB2848">
        <w:t xml:space="preserve">field trip </w:t>
      </w:r>
      <w:r>
        <w:t>programs</w:t>
      </w:r>
      <w:r w:rsidR="00DC3408">
        <w:rPr>
          <w:rStyle w:val="FootnoteReference"/>
        </w:rPr>
        <w:footnoteReference w:id="1"/>
      </w:r>
      <w:r>
        <w:t xml:space="preserve"> in the United States. Early adolescence</w:t>
      </w:r>
      <w:r w:rsidR="001A08FA">
        <w:t xml:space="preserve"> is a </w:t>
      </w:r>
      <w:r w:rsidR="00345181" w:rsidRPr="005E6208">
        <w:t xml:space="preserve">critical </w:t>
      </w:r>
      <w:r w:rsidR="001A08FA">
        <w:t xml:space="preserve">developmental </w:t>
      </w:r>
      <w:r w:rsidR="00345181" w:rsidRPr="005E6208">
        <w:t>period for forming identity, morality, environmental literacy, and connection to place and community (Piaget, 19</w:t>
      </w:r>
      <w:r w:rsidR="00345181">
        <w:t>72</w:t>
      </w:r>
      <w:r w:rsidR="00345181" w:rsidRPr="005E6208">
        <w:t xml:space="preserve">; Kohlberg, 1971; Kahn &amp; Kellert, 2002; Kroger, 2006). Research on the political socialization of youth indicates that, by middle school age, students have developed modest political awareness shaped by family, community, and </w:t>
      </w:r>
      <w:r w:rsidR="00345181">
        <w:t xml:space="preserve">major </w:t>
      </w:r>
      <w:r w:rsidR="00345181" w:rsidRPr="005E6208">
        <w:t>societal events (Jennings &amp; Niemi, 1974, 1981; Lewis-Beck et al., 2008).</w:t>
      </w:r>
      <w:r w:rsidR="00345181">
        <w:t xml:space="preserve"> </w:t>
      </w:r>
      <w:r w:rsidR="00345181">
        <w:rPr>
          <w:rFonts w:ascii="Times" w:hAnsi="Times"/>
        </w:rPr>
        <w:t xml:space="preserve">As students of this age become aware of the dominant political messages in their own communities, they likely begin to incorporate these messages into their own identities and worldviews; therefore, we might expect students to be influenced by the political beliefs and identities of the voting age adults in their community. </w:t>
      </w:r>
      <w:r w:rsidR="00710697">
        <w:rPr>
          <w:rFonts w:ascii="Times" w:hAnsi="Times"/>
        </w:rPr>
        <w:t xml:space="preserve">Conversely, </w:t>
      </w:r>
      <w:r w:rsidR="00AD655A">
        <w:rPr>
          <w:rFonts w:ascii="Times" w:hAnsi="Times"/>
        </w:rPr>
        <w:t>Lawson and colleagues (2019) argue that youth are less susceptible to political polarization than adults, and thus suggest educating youth can inspire intergenerational learning and potentially influence more politically entrenched parents.</w:t>
      </w:r>
    </w:p>
    <w:p w14:paraId="1CF29A4F" w14:textId="2858F529" w:rsidR="00345181" w:rsidRPr="00082A36" w:rsidRDefault="00345181" w:rsidP="00082A36">
      <w:pPr>
        <w:ind w:firstLine="720"/>
        <w:jc w:val="both"/>
        <w:rPr>
          <w:bCs/>
          <w:iCs/>
        </w:rPr>
      </w:pPr>
      <w:r w:rsidRPr="00E23B7B">
        <w:t>As part of a larger study of single-day EE field trips for adolescent youth</w:t>
      </w:r>
      <w:r w:rsidRPr="005C24E0">
        <w:t xml:space="preserve"> within the United States, </w:t>
      </w:r>
      <w:r w:rsidR="00082A36">
        <w:t xml:space="preserve">we examined the following research question: </w:t>
      </w:r>
      <w:r w:rsidR="008F4050">
        <w:rPr>
          <w:bCs/>
          <w:i/>
          <w:iCs/>
        </w:rPr>
        <w:t xml:space="preserve">Do the outcomes of EE programs differ for middle school students (grades 5-8; ages 10-14) </w:t>
      </w:r>
      <w:r w:rsidRPr="00E423EA">
        <w:rPr>
          <w:bCs/>
          <w:i/>
          <w:iCs/>
        </w:rPr>
        <w:t>from different sociopolitical contexts</w:t>
      </w:r>
      <w:r w:rsidR="008F4050">
        <w:rPr>
          <w:bCs/>
          <w:i/>
          <w:iCs/>
        </w:rPr>
        <w:t xml:space="preserve"> in the United States</w:t>
      </w:r>
      <w:r w:rsidRPr="00E423EA">
        <w:rPr>
          <w:bCs/>
          <w:i/>
          <w:iCs/>
        </w:rPr>
        <w:t>?</w:t>
      </w:r>
      <w:r w:rsidR="00E132F1">
        <w:rPr>
          <w:bCs/>
          <w:iCs/>
        </w:rPr>
        <w:t xml:space="preserve"> We examine both voting trends and socioeconomic conditions as indicators of sociopolitical context. </w:t>
      </w:r>
      <w:r w:rsidR="00082A36">
        <w:rPr>
          <w:bCs/>
          <w:iCs/>
        </w:rPr>
        <w:t>In a linked manuscript (this issue</w:t>
      </w:r>
      <w:r w:rsidR="0028533B">
        <w:rPr>
          <w:bCs/>
          <w:iCs/>
        </w:rPr>
        <w:t>, add citation</w:t>
      </w:r>
      <w:r w:rsidR="00082A36">
        <w:rPr>
          <w:bCs/>
          <w:iCs/>
        </w:rPr>
        <w:t xml:space="preserve">), we examine whether certain pedagogical approaches to the programs are associated with more </w:t>
      </w:r>
      <w:r w:rsidR="0028533B">
        <w:rPr>
          <w:bCs/>
          <w:iCs/>
        </w:rPr>
        <w:t xml:space="preserve">or less </w:t>
      </w:r>
      <w:r w:rsidR="00082A36">
        <w:rPr>
          <w:bCs/>
          <w:iCs/>
        </w:rPr>
        <w:t>positive learning outcomes for students from different political contexts.</w:t>
      </w:r>
    </w:p>
    <w:p w14:paraId="78A8A80E" w14:textId="77777777" w:rsidR="006D5EF7" w:rsidRDefault="006D5EF7" w:rsidP="00345181">
      <w:pPr>
        <w:outlineLvl w:val="1"/>
        <w:rPr>
          <w:b/>
          <w:bCs/>
        </w:rPr>
      </w:pPr>
      <w:bookmarkStart w:id="9" w:name="_Toc101646946"/>
    </w:p>
    <w:p w14:paraId="541996D8" w14:textId="64DC7606" w:rsidR="00345181" w:rsidRPr="00D83170" w:rsidRDefault="00345181" w:rsidP="00345181">
      <w:pPr>
        <w:outlineLvl w:val="1"/>
        <w:rPr>
          <w:b/>
          <w:bCs/>
        </w:rPr>
      </w:pPr>
      <w:r w:rsidRPr="00D83170">
        <w:rPr>
          <w:b/>
          <w:bCs/>
        </w:rPr>
        <w:t>Literature Review</w:t>
      </w:r>
      <w:bookmarkEnd w:id="9"/>
    </w:p>
    <w:p w14:paraId="74BCD0D4" w14:textId="77777777" w:rsidR="00345181" w:rsidRPr="007D250F" w:rsidRDefault="00345181" w:rsidP="00345181">
      <w:pPr>
        <w:rPr>
          <w:b/>
          <w:bCs/>
          <w:i/>
          <w:iCs/>
        </w:rPr>
      </w:pPr>
      <w:r w:rsidRPr="007D250F">
        <w:rPr>
          <w:b/>
          <w:bCs/>
          <w:i/>
          <w:iCs/>
        </w:rPr>
        <w:t>Sociopolitical contexts of youth</w:t>
      </w:r>
    </w:p>
    <w:p w14:paraId="0AA45898" w14:textId="0CA7C41C" w:rsidR="00345181" w:rsidRDefault="00345181" w:rsidP="00345181">
      <w:pPr>
        <w:ind w:firstLine="720"/>
        <w:jc w:val="both"/>
      </w:pPr>
      <w:r w:rsidRPr="00187241">
        <w:t>Literature suggests that</w:t>
      </w:r>
      <w:r w:rsidR="005568B8">
        <w:t xml:space="preserve"> </w:t>
      </w:r>
      <w:r w:rsidRPr="00187241">
        <w:t>partisan identification is rooted in early childhood</w:t>
      </w:r>
      <w:r w:rsidR="00782A09">
        <w:t>, largely as a result of parental influence</w:t>
      </w:r>
      <w:r w:rsidR="00430F23" w:rsidRPr="00430F23">
        <w:t xml:space="preserve"> </w:t>
      </w:r>
      <w:r w:rsidR="00430F23">
        <w:t>(</w:t>
      </w:r>
      <w:r w:rsidR="00085D57">
        <w:t xml:space="preserve">Campbell et al., 1960; </w:t>
      </w:r>
      <w:r w:rsidR="00430F23">
        <w:t xml:space="preserve">Jennings &amp; Niemi, 1981; </w:t>
      </w:r>
      <w:proofErr w:type="spellStart"/>
      <w:r w:rsidR="00430F23">
        <w:t>Tedin</w:t>
      </w:r>
      <w:proofErr w:type="spellEnd"/>
      <w:r w:rsidR="00430F23">
        <w:t>, 1980)</w:t>
      </w:r>
      <w:r w:rsidRPr="00187241">
        <w:t>. Children begin developing a vague political awareness as young as age 5, form general notions of political parties around ages 7 to 10, and can generally express partisan loyalty by high school (ages 14 to 18) (</w:t>
      </w:r>
      <w:r w:rsidR="008E499D" w:rsidRPr="00187241">
        <w:t>Campbell et al., 1960</w:t>
      </w:r>
      <w:r w:rsidRPr="00187241">
        <w:t>; Connell, 1971; Lewis-Beck et al., 2008;</w:t>
      </w:r>
      <w:r w:rsidR="008E499D" w:rsidRPr="008E499D">
        <w:t xml:space="preserve"> </w:t>
      </w:r>
      <w:proofErr w:type="spellStart"/>
      <w:r w:rsidR="008E499D" w:rsidRPr="00187241">
        <w:t>Pettifor</w:t>
      </w:r>
      <w:proofErr w:type="spellEnd"/>
      <w:r w:rsidR="008E499D" w:rsidRPr="00187241">
        <w:t>, 2012</w:t>
      </w:r>
      <w:r w:rsidRPr="00187241">
        <w:t>). Partisan and ideological identities, such as Democrat, Republican, conservative, or liberal, represent strong social identities characterized by a “sense of connection to like-minded others” (</w:t>
      </w:r>
      <w:r w:rsidR="008E499D" w:rsidRPr="00187241">
        <w:rPr>
          <w:color w:val="231F20"/>
        </w:rPr>
        <w:t xml:space="preserve">Kinder &amp; </w:t>
      </w:r>
      <w:proofErr w:type="spellStart"/>
      <w:r w:rsidR="008E499D" w:rsidRPr="00187241">
        <w:rPr>
          <w:color w:val="231F20"/>
        </w:rPr>
        <w:t>Kalmoe</w:t>
      </w:r>
      <w:proofErr w:type="spellEnd"/>
      <w:r w:rsidR="008E499D" w:rsidRPr="00187241">
        <w:rPr>
          <w:color w:val="231F20"/>
        </w:rPr>
        <w:t>, 2017</w:t>
      </w:r>
      <w:r w:rsidR="008E499D">
        <w:rPr>
          <w:color w:val="231F20"/>
        </w:rPr>
        <w:t xml:space="preserve">; </w:t>
      </w:r>
      <w:r w:rsidRPr="00187241">
        <w:t xml:space="preserve">Mason, 2018, p. 867). Social science research demonstrates that these group attachments are instrumental in explaining how individuals process new information, construct their attitudes and beliefs, </w:t>
      </w:r>
      <w:r w:rsidR="008E499D">
        <w:t>and</w:t>
      </w:r>
      <w:r w:rsidRPr="00187241">
        <w:t xml:space="preserve"> respond to particular message sources (</w:t>
      </w:r>
      <w:r w:rsidR="008E499D" w:rsidRPr="00187241">
        <w:t>Cohen, 2003</w:t>
      </w:r>
      <w:r w:rsidRPr="00187241">
        <w:t xml:space="preserve">; </w:t>
      </w:r>
      <w:r w:rsidR="008E499D" w:rsidRPr="00187241">
        <w:lastRenderedPageBreak/>
        <w:t>Kahan</w:t>
      </w:r>
      <w:r w:rsidR="008E499D">
        <w:t>,</w:t>
      </w:r>
      <w:r w:rsidR="008E499D" w:rsidRPr="00187241">
        <w:t xml:space="preserve"> 2013; Stern, 2018;</w:t>
      </w:r>
      <w:r w:rsidR="008E499D">
        <w:t xml:space="preserve"> </w:t>
      </w:r>
      <w:r w:rsidR="008E499D" w:rsidRPr="00187241">
        <w:t>Taber &amp; Lodge, 2006</w:t>
      </w:r>
      <w:r w:rsidR="008E499D">
        <w:t xml:space="preserve">; </w:t>
      </w:r>
      <w:r w:rsidRPr="00187241">
        <w:t xml:space="preserve">Tajfel and Turner, 1979). Even individuals with only modest political awareness, such as adolescent youth, may draw on politically based social identities in response to </w:t>
      </w:r>
      <w:r w:rsidR="001A08FA">
        <w:t>messages from people outside their own group, or “</w:t>
      </w:r>
      <w:r w:rsidRPr="00187241">
        <w:t>out-group</w:t>
      </w:r>
      <w:r w:rsidR="008E499D">
        <w:t>”</w:t>
      </w:r>
      <w:r w:rsidRPr="00187241">
        <w:t xml:space="preserve"> messages</w:t>
      </w:r>
      <w:r w:rsidR="008E499D">
        <w:t xml:space="preserve"> </w:t>
      </w:r>
      <w:r w:rsidRPr="00187241">
        <w:t>(</w:t>
      </w:r>
      <w:r w:rsidR="008E499D" w:rsidRPr="00187241">
        <w:t xml:space="preserve">Barber &amp; Pope, </w:t>
      </w:r>
      <w:r w:rsidR="008E499D">
        <w:t>2019</w:t>
      </w:r>
      <w:r w:rsidRPr="00187241">
        <w:t>; Cohen, 2003;</w:t>
      </w:r>
      <w:r w:rsidR="008E499D">
        <w:t xml:space="preserve"> </w:t>
      </w:r>
      <w:r w:rsidR="008E499D" w:rsidRPr="00187241">
        <w:t>Mason, 2018</w:t>
      </w:r>
      <w:r w:rsidRPr="00187241">
        <w:t>).</w:t>
      </w:r>
    </w:p>
    <w:p w14:paraId="5DE77132" w14:textId="2E7B0C02" w:rsidR="00345181" w:rsidRDefault="00430F23" w:rsidP="00345181">
      <w:pPr>
        <w:ind w:firstLine="720"/>
        <w:jc w:val="both"/>
      </w:pPr>
      <w:r w:rsidRPr="00085D57">
        <w:t>T</w:t>
      </w:r>
      <w:r w:rsidR="00345181" w:rsidRPr="00085D57">
        <w:t xml:space="preserve">he development of young people’s political attitudes and partisan identities </w:t>
      </w:r>
      <w:r w:rsidRPr="00085D57">
        <w:t xml:space="preserve">may also be based upon the geographic communities in which they live </w:t>
      </w:r>
      <w:r w:rsidR="00345181" w:rsidRPr="00085D57">
        <w:t xml:space="preserve">(Levin, 1961; </w:t>
      </w:r>
      <w:proofErr w:type="spellStart"/>
      <w:r w:rsidR="00345181" w:rsidRPr="00085D57">
        <w:t>MacKuen</w:t>
      </w:r>
      <w:proofErr w:type="spellEnd"/>
      <w:r w:rsidRPr="00085D57">
        <w:t xml:space="preserve"> &amp;</w:t>
      </w:r>
      <w:r w:rsidR="00085D57" w:rsidRPr="00085D57">
        <w:t xml:space="preserve"> </w:t>
      </w:r>
      <w:r w:rsidRPr="00085D57">
        <w:t>Brown</w:t>
      </w:r>
      <w:r w:rsidR="00345181" w:rsidRPr="00085D57">
        <w:t>, 1987). In</w:t>
      </w:r>
      <w:r w:rsidR="00345181" w:rsidRPr="00187241">
        <w:t xml:space="preserve"> the 2008 book, </w:t>
      </w:r>
      <w:r w:rsidR="00345181" w:rsidRPr="00187241">
        <w:rPr>
          <w:i/>
          <w:iCs/>
        </w:rPr>
        <w:t>The Big Sort</w:t>
      </w:r>
      <w:r w:rsidR="00345181" w:rsidRPr="00187241">
        <w:t xml:space="preserve">, Bishop suggests that </w:t>
      </w:r>
      <w:r w:rsidR="008A1739">
        <w:t>residents in the United States</w:t>
      </w:r>
      <w:r w:rsidR="00345181" w:rsidRPr="00187241">
        <w:t xml:space="preserve"> “have clustered in communities of sameness, among people with similar ways of life, beliefs, and, in the end, politics” (p. 5). Several studies further confirm that Democrats and Republicans have becom</w:t>
      </w:r>
      <w:r w:rsidR="001A08FA">
        <w:t>e</w:t>
      </w:r>
      <w:r w:rsidR="00345181" w:rsidRPr="00187241">
        <w:t xml:space="preserve"> increasingly geographically </w:t>
      </w:r>
      <w:r w:rsidR="001A08FA">
        <w:t>segregated</w:t>
      </w:r>
      <w:r w:rsidR="00345181" w:rsidRPr="00187241">
        <w:t xml:space="preserve"> and demonstrate that this trend exists at multiple scales </w:t>
      </w:r>
      <w:r w:rsidR="001B1792">
        <w:t xml:space="preserve">in the United States </w:t>
      </w:r>
      <w:r w:rsidR="00345181" w:rsidRPr="00187241">
        <w:t>– including Census</w:t>
      </w:r>
      <w:r w:rsidR="005568B8">
        <w:t>-block</w:t>
      </w:r>
      <w:r w:rsidR="00345181" w:rsidRPr="00187241">
        <w:t>, state, county, precinct-level, and several other micro-level scales (</w:t>
      </w:r>
      <w:r w:rsidR="005568B8" w:rsidRPr="00187241">
        <w:t xml:space="preserve">Johnston et al., 2016; </w:t>
      </w:r>
      <w:r w:rsidR="008E499D" w:rsidRPr="00187241">
        <w:t>Kinsella et al., 2015</w:t>
      </w:r>
      <w:r w:rsidR="008E499D">
        <w:t xml:space="preserve">; </w:t>
      </w:r>
      <w:r w:rsidR="005568B8" w:rsidRPr="00187241">
        <w:t>Morrill et al., 2007</w:t>
      </w:r>
      <w:r w:rsidR="005568B8">
        <w:t xml:space="preserve">; </w:t>
      </w:r>
      <w:r w:rsidR="008E499D" w:rsidRPr="00187241">
        <w:t xml:space="preserve">Myers, 2013; </w:t>
      </w:r>
      <w:proofErr w:type="spellStart"/>
      <w:r w:rsidR="005568B8" w:rsidRPr="00187241">
        <w:t>Rohla</w:t>
      </w:r>
      <w:proofErr w:type="spellEnd"/>
      <w:r w:rsidR="005568B8" w:rsidRPr="00187241">
        <w:t xml:space="preserve"> et al., 2018</w:t>
      </w:r>
      <w:r w:rsidR="005568B8">
        <w:t xml:space="preserve">; </w:t>
      </w:r>
      <w:proofErr w:type="spellStart"/>
      <w:r w:rsidR="00345181" w:rsidRPr="00187241">
        <w:t>Sussell</w:t>
      </w:r>
      <w:proofErr w:type="spellEnd"/>
      <w:r w:rsidR="00345181" w:rsidRPr="00187241">
        <w:t>, 2013).</w:t>
      </w:r>
      <w:r w:rsidR="008E499D">
        <w:t xml:space="preserve"> </w:t>
      </w:r>
      <w:r w:rsidR="00345181" w:rsidRPr="00187241">
        <w:t>Democrats ha</w:t>
      </w:r>
      <w:r w:rsidR="001A08FA">
        <w:t>ve</w:t>
      </w:r>
      <w:r w:rsidR="00345181" w:rsidRPr="00187241">
        <w:t xml:space="preserve"> become more concentrated in major metropolitan areas, while Republicans </w:t>
      </w:r>
      <w:r w:rsidR="001A08FA">
        <w:t>are</w:t>
      </w:r>
      <w:r w:rsidR="00345181" w:rsidRPr="00187241">
        <w:t xml:space="preserve"> largely in exurb and rural areas</w:t>
      </w:r>
      <w:r w:rsidR="00345181">
        <w:t xml:space="preserve"> (</w:t>
      </w:r>
      <w:r w:rsidR="00345181" w:rsidRPr="00187241">
        <w:t>Johnston</w:t>
      </w:r>
      <w:r w:rsidR="00345181">
        <w:t xml:space="preserve">, </w:t>
      </w:r>
      <w:r w:rsidR="00345181" w:rsidRPr="00187241">
        <w:t xml:space="preserve">2020). </w:t>
      </w:r>
    </w:p>
    <w:p w14:paraId="12EE6AED" w14:textId="6B1EFDC2" w:rsidR="00345181" w:rsidRPr="0026284C" w:rsidRDefault="00345181" w:rsidP="00345181">
      <w:pPr>
        <w:ind w:firstLine="720"/>
        <w:jc w:val="both"/>
        <w:rPr>
          <w:highlight w:val="yellow"/>
        </w:rPr>
      </w:pPr>
      <w:r w:rsidRPr="00187241">
        <w:t xml:space="preserve">The sociopolitical contexts of adolescent youth are also </w:t>
      </w:r>
      <w:r w:rsidR="001B1792">
        <w:t xml:space="preserve">influenced </w:t>
      </w:r>
      <w:r w:rsidRPr="00187241">
        <w:t xml:space="preserve">by the major events, issues, and political campaigns that define the era in which they mature (Jennings, 2002; </w:t>
      </w:r>
      <w:proofErr w:type="spellStart"/>
      <w:r w:rsidRPr="00187241">
        <w:t>Gimpel</w:t>
      </w:r>
      <w:proofErr w:type="spellEnd"/>
      <w:r w:rsidRPr="00187241">
        <w:t xml:space="preserve"> et al., 2003; Wolak, 2009). Based on evidence of increasing consistency between political ideology and party identification</w:t>
      </w:r>
      <w:r w:rsidR="001A08FA">
        <w:t>,</w:t>
      </w:r>
      <w:r w:rsidRPr="00187241">
        <w:t xml:space="preserve"> as well as significant declines in split-ticket voting, political scientists generally agree that we are living in an especially polarized era</w:t>
      </w:r>
      <w:r w:rsidR="008E499D">
        <w:t>, both at the level of political elites and the general public</w:t>
      </w:r>
      <w:r w:rsidRPr="00187241">
        <w:t xml:space="preserve"> (Abramowitz &amp; Saunders, </w:t>
      </w:r>
      <w:r w:rsidRPr="0026284C">
        <w:t>2006; Gelman, 2010</w:t>
      </w:r>
      <w:r w:rsidR="008E499D">
        <w:t xml:space="preserve">; </w:t>
      </w:r>
      <w:r w:rsidR="008E499D" w:rsidRPr="0026284C">
        <w:t>Hopkins, 2018; Jacobson, 2012</w:t>
      </w:r>
      <w:r w:rsidR="008E499D">
        <w:t xml:space="preserve">; </w:t>
      </w:r>
      <w:proofErr w:type="spellStart"/>
      <w:r w:rsidR="008E499D" w:rsidRPr="0026284C">
        <w:t>Jost</w:t>
      </w:r>
      <w:proofErr w:type="spellEnd"/>
      <w:r w:rsidR="008E499D" w:rsidRPr="0026284C">
        <w:t xml:space="preserve">, 2017; </w:t>
      </w:r>
      <w:proofErr w:type="spellStart"/>
      <w:r w:rsidR="008E499D" w:rsidRPr="00187241">
        <w:t>Levendusky</w:t>
      </w:r>
      <w:proofErr w:type="spellEnd"/>
      <w:r w:rsidR="008E499D" w:rsidRPr="00187241">
        <w:t>, 2009</w:t>
      </w:r>
      <w:r w:rsidRPr="0026284C">
        <w:t xml:space="preserve">). “Party sorting” at the level of political elites has aligned liberals with Democrats and conservatives with Republicans and provided clearer cues to the general public about what the two parties stand for with regard to particular issues – such </w:t>
      </w:r>
      <w:r>
        <w:t xml:space="preserve">as </w:t>
      </w:r>
      <w:r w:rsidRPr="0026284C">
        <w:t>environment</w:t>
      </w:r>
      <w:r w:rsidR="00F26687">
        <w:t>al regulation</w:t>
      </w:r>
      <w:r w:rsidRPr="0026284C">
        <w:t xml:space="preserve"> or </w:t>
      </w:r>
      <w:r w:rsidR="008E499D">
        <w:t xml:space="preserve">efforts to mitigate </w:t>
      </w:r>
      <w:r w:rsidRPr="0026284C">
        <w:t>climate change (</w:t>
      </w:r>
      <w:r w:rsidR="008E499D" w:rsidRPr="0026284C">
        <w:t xml:space="preserve">Dunlap, </w:t>
      </w:r>
      <w:r w:rsidR="008E499D">
        <w:t xml:space="preserve">et al., </w:t>
      </w:r>
      <w:r w:rsidR="008E499D" w:rsidRPr="0026284C">
        <w:t>2016</w:t>
      </w:r>
      <w:r w:rsidR="008E499D">
        <w:t xml:space="preserve">; </w:t>
      </w:r>
      <w:r w:rsidR="008E499D" w:rsidRPr="0026284C">
        <w:t>Jacobson, 2012</w:t>
      </w:r>
      <w:r w:rsidR="008E499D">
        <w:t xml:space="preserve">; </w:t>
      </w:r>
      <w:proofErr w:type="spellStart"/>
      <w:r w:rsidRPr="0026284C">
        <w:t>Levendusky</w:t>
      </w:r>
      <w:proofErr w:type="spellEnd"/>
      <w:r w:rsidRPr="0026284C">
        <w:t>, 2009).</w:t>
      </w:r>
      <w:r w:rsidRPr="00187241">
        <w:t xml:space="preserve"> </w:t>
      </w:r>
    </w:p>
    <w:p w14:paraId="5F88BED1" w14:textId="74EF202A" w:rsidR="00345181" w:rsidRDefault="00345181" w:rsidP="00345181">
      <w:pPr>
        <w:ind w:firstLine="720"/>
        <w:jc w:val="both"/>
      </w:pPr>
      <w:r w:rsidRPr="00187241">
        <w:t>Beginning in the</w:t>
      </w:r>
      <w:r w:rsidR="005568B8">
        <w:t xml:space="preserve"> late</w:t>
      </w:r>
      <w:r w:rsidRPr="00187241">
        <w:t xml:space="preserve"> 1970s and intensifying since the 19</w:t>
      </w:r>
      <w:r w:rsidR="005568B8">
        <w:t>8</w:t>
      </w:r>
      <w:r w:rsidRPr="00187241">
        <w:t xml:space="preserve">0s, Republicans have become increasingly opposed to environmental protection and regulations; meanwhile, Democrats have largely embraced a pro-environment agenda (Dunlap et al., 2001; Dunlap et al., 2016; </w:t>
      </w:r>
      <w:r w:rsidR="00430F23">
        <w:t xml:space="preserve">Funk &amp; </w:t>
      </w:r>
      <w:proofErr w:type="spellStart"/>
      <w:r w:rsidR="00956A10">
        <w:t>Hefferon</w:t>
      </w:r>
      <w:proofErr w:type="spellEnd"/>
      <w:r w:rsidR="00430F23">
        <w:t xml:space="preserve">, 2019; Kahan et al., 2011; </w:t>
      </w:r>
      <w:proofErr w:type="spellStart"/>
      <w:r w:rsidRPr="00187241">
        <w:t>McCright</w:t>
      </w:r>
      <w:proofErr w:type="spellEnd"/>
      <w:r w:rsidRPr="00187241">
        <w:t xml:space="preserve"> et al., 2014). Complex and politically contentious issues can embody certain cues about partisan group identity that may serve as meaningful heuristics for less politically engaged individuals</w:t>
      </w:r>
      <w:r>
        <w:t>, such as middle school students</w:t>
      </w:r>
      <w:r w:rsidRPr="00187241">
        <w:t xml:space="preserve"> (</w:t>
      </w:r>
      <w:r w:rsidR="008E499D" w:rsidRPr="00187241">
        <w:t xml:space="preserve">Cohen, 2003; </w:t>
      </w:r>
      <w:proofErr w:type="spellStart"/>
      <w:r w:rsidR="008E499D" w:rsidRPr="00187241">
        <w:t>Huckfeldt</w:t>
      </w:r>
      <w:proofErr w:type="spellEnd"/>
      <w:r w:rsidR="008E499D" w:rsidRPr="00187241">
        <w:t xml:space="preserve"> et al., 2005</w:t>
      </w:r>
      <w:r w:rsidR="008E499D">
        <w:t xml:space="preserve">; </w:t>
      </w:r>
      <w:r w:rsidR="008E499D" w:rsidRPr="00187241">
        <w:t xml:space="preserve">Krishna &amp; </w:t>
      </w:r>
      <w:proofErr w:type="spellStart"/>
      <w:r w:rsidR="008E499D" w:rsidRPr="00187241">
        <w:t>Sokolova</w:t>
      </w:r>
      <w:proofErr w:type="spellEnd"/>
      <w:r w:rsidR="008E499D" w:rsidRPr="00187241">
        <w:t xml:space="preserve">, 2017; </w:t>
      </w:r>
      <w:proofErr w:type="spellStart"/>
      <w:r w:rsidR="008E499D" w:rsidRPr="00187241">
        <w:t>McCright</w:t>
      </w:r>
      <w:proofErr w:type="spellEnd"/>
      <w:r w:rsidR="008E499D" w:rsidRPr="00187241">
        <w:t xml:space="preserve"> &amp; Dunlap, 2011;</w:t>
      </w:r>
      <w:r w:rsidR="008E499D">
        <w:t xml:space="preserve"> </w:t>
      </w:r>
      <w:r w:rsidRPr="00187241">
        <w:t>Nisbet et al., 2015). Some researchers suggest that conservatives’ skepticism of climate change is part of a larger national trend of anti-intellectualism, largely attributable to the politicization of science and characterized by distrust of scientific knowledge and suspicion of scientists (</w:t>
      </w:r>
      <w:bookmarkStart w:id="10" w:name="_Hlk131943610"/>
      <w:proofErr w:type="spellStart"/>
      <w:r w:rsidRPr="00187241">
        <w:t>Gauchat</w:t>
      </w:r>
      <w:proofErr w:type="spellEnd"/>
      <w:r w:rsidRPr="00187241">
        <w:t xml:space="preserve">, 2012; </w:t>
      </w:r>
      <w:r w:rsidR="008E499D" w:rsidRPr="00187241">
        <w:t>Merkley, 2020</w:t>
      </w:r>
      <w:r w:rsidR="008E499D">
        <w:t xml:space="preserve">; </w:t>
      </w:r>
      <w:r w:rsidRPr="00187241">
        <w:t xml:space="preserve">Motta, 2018; </w:t>
      </w:r>
      <w:r w:rsidR="008E499D">
        <w:t xml:space="preserve">Walsh &amp; </w:t>
      </w:r>
      <w:proofErr w:type="spellStart"/>
      <w:r w:rsidR="008E499D" w:rsidRPr="005D3CF6">
        <w:rPr>
          <w:shd w:val="clear" w:color="auto" w:fill="FFFFFF"/>
        </w:rPr>
        <w:t>Tsurusaki</w:t>
      </w:r>
      <w:proofErr w:type="spellEnd"/>
      <w:r w:rsidR="008E499D">
        <w:rPr>
          <w:shd w:val="clear" w:color="auto" w:fill="FFFFFF"/>
        </w:rPr>
        <w:t>, 2019</w:t>
      </w:r>
      <w:bookmarkEnd w:id="10"/>
      <w:r w:rsidRPr="00187241">
        <w:t xml:space="preserve">). Anti-intellectual or anti-environmental cues from prominent Republican leaders can be expected to shape public opinion and political behavior, making citizens more distrustful of science and experts. </w:t>
      </w:r>
    </w:p>
    <w:p w14:paraId="1C0D4506" w14:textId="6D03C69F" w:rsidR="00345181" w:rsidRDefault="001B1792" w:rsidP="00345181">
      <w:pPr>
        <w:ind w:firstLine="720"/>
        <w:jc w:val="both"/>
      </w:pPr>
      <w:r>
        <w:t>R</w:t>
      </w:r>
      <w:r w:rsidR="00345181" w:rsidRPr="00086FE4">
        <w:t xml:space="preserve">esearch demonstrates divisions and variability within the two parties as well. While some disagreements over policy objectives are </w:t>
      </w:r>
      <w:r w:rsidR="008E499D">
        <w:t>generally consistent</w:t>
      </w:r>
      <w:r w:rsidR="00345181" w:rsidRPr="00086FE4">
        <w:t xml:space="preserve">, other divides </w:t>
      </w:r>
      <w:r w:rsidR="00C06625">
        <w:t>align with</w:t>
      </w:r>
      <w:r w:rsidR="00345181" w:rsidRPr="00086FE4">
        <w:t xml:space="preserve"> differences in race, class, education, and geography. </w:t>
      </w:r>
      <w:r w:rsidR="000F1088">
        <w:t>Evidence suggests</w:t>
      </w:r>
      <w:r w:rsidR="00345181" w:rsidRPr="00086FE4">
        <w:t xml:space="preserve"> that socioeconomic status interacts with partisanship to frame people’s views on economic, social, and environmental issues (</w:t>
      </w:r>
      <w:r w:rsidR="008E499D" w:rsidRPr="00086FE4">
        <w:t>AP-NORC, 2015</w:t>
      </w:r>
      <w:r w:rsidR="008E499D">
        <w:t xml:space="preserve">; </w:t>
      </w:r>
      <w:proofErr w:type="spellStart"/>
      <w:r w:rsidR="00345181" w:rsidRPr="00086FE4">
        <w:t>Kitschelt</w:t>
      </w:r>
      <w:proofErr w:type="spellEnd"/>
      <w:r w:rsidR="00345181" w:rsidRPr="00086FE4">
        <w:t xml:space="preserve"> &amp; Rehm, 2019; Pew Research Center, 2021;). </w:t>
      </w:r>
      <w:r w:rsidR="00954422">
        <w:t>For example, wealthier</w:t>
      </w:r>
      <w:r w:rsidR="00345181" w:rsidRPr="00086FE4">
        <w:t xml:space="preserve"> Republicans tend to be </w:t>
      </w:r>
      <w:r w:rsidR="00954422">
        <w:t>more highly educated and more</w:t>
      </w:r>
      <w:r w:rsidR="00345181" w:rsidRPr="00086FE4">
        <w:t xml:space="preserve"> fiscally conservative</w:t>
      </w:r>
      <w:r w:rsidR="00954422">
        <w:t xml:space="preserve"> than t</w:t>
      </w:r>
      <w:r w:rsidR="00345181" w:rsidRPr="00086FE4">
        <w:t xml:space="preserve">hose with low to moderate incomes, </w:t>
      </w:r>
      <w:r w:rsidR="00954422">
        <w:t xml:space="preserve">who tend to be </w:t>
      </w:r>
      <w:r w:rsidR="00345181" w:rsidRPr="00086FE4">
        <w:t xml:space="preserve">more socially conservative, </w:t>
      </w:r>
      <w:r w:rsidR="00954422">
        <w:t>on average</w:t>
      </w:r>
      <w:r w:rsidR="00345181" w:rsidRPr="00086FE4">
        <w:t xml:space="preserve"> (Pew Research Center, 2021). </w:t>
      </w:r>
      <w:r w:rsidR="00345181">
        <w:t>Although</w:t>
      </w:r>
      <w:r w:rsidR="00345181" w:rsidRPr="00086FE4">
        <w:t xml:space="preserve"> pro-environmental messages are prevalent </w:t>
      </w:r>
      <w:r w:rsidR="00345181">
        <w:t xml:space="preserve">in </w:t>
      </w:r>
      <w:r w:rsidR="00345181" w:rsidRPr="00086FE4">
        <w:t>Democrat</w:t>
      </w:r>
      <w:r w:rsidR="00345181">
        <w:t>ic settings</w:t>
      </w:r>
      <w:r w:rsidR="00345181" w:rsidRPr="00086FE4">
        <w:t xml:space="preserve">, lower </w:t>
      </w:r>
      <w:r w:rsidR="00345181" w:rsidRPr="00086FE4">
        <w:lastRenderedPageBreak/>
        <w:t>income, less educated, and more racially diverse Democratic voters tend to hold more moderate political views</w:t>
      </w:r>
      <w:r w:rsidR="00345181">
        <w:t xml:space="preserve"> regarding </w:t>
      </w:r>
      <w:r w:rsidR="00F26687">
        <w:t>environmental issues</w:t>
      </w:r>
      <w:r w:rsidR="00345181" w:rsidRPr="00086FE4">
        <w:t xml:space="preserve"> </w:t>
      </w:r>
      <w:r w:rsidR="00E003E6">
        <w:t>(</w:t>
      </w:r>
      <w:proofErr w:type="spellStart"/>
      <w:r w:rsidR="00345181" w:rsidRPr="00086FE4">
        <w:t>Kitschelt</w:t>
      </w:r>
      <w:proofErr w:type="spellEnd"/>
      <w:r w:rsidR="00345181" w:rsidRPr="00086FE4">
        <w:t xml:space="preserve"> &amp; Rehm, 2019</w:t>
      </w:r>
      <w:r w:rsidR="00E003E6">
        <w:t xml:space="preserve">; </w:t>
      </w:r>
      <w:r w:rsidR="00E003E6" w:rsidRPr="00086FE4">
        <w:t>Pew Research Center, 2021</w:t>
      </w:r>
      <w:r w:rsidR="00345181" w:rsidRPr="00086FE4">
        <w:t>).</w:t>
      </w:r>
      <w:r w:rsidR="00345181">
        <w:t xml:space="preserve"> Meanwhile, </w:t>
      </w:r>
      <w:r w:rsidR="00345181" w:rsidRPr="00086FE4">
        <w:t xml:space="preserve">research </w:t>
      </w:r>
      <w:r w:rsidR="00345181" w:rsidRPr="00D756FC">
        <w:t xml:space="preserve">shows that environmental concerns are most pervasive among wealthier and more highly educated liberal Democrats. These individuals also tend to be more well-traveled and hold more cosmopolitan views (AP-NORC, 2015; Dunlap, et al., 2001; </w:t>
      </w:r>
      <w:proofErr w:type="spellStart"/>
      <w:r w:rsidR="00E003E6" w:rsidRPr="00D756FC">
        <w:t>Kitschelt</w:t>
      </w:r>
      <w:proofErr w:type="spellEnd"/>
      <w:r w:rsidR="00E003E6" w:rsidRPr="00D756FC">
        <w:t xml:space="preserve"> &amp; Rehm, 2019; </w:t>
      </w:r>
      <w:r w:rsidR="00345181" w:rsidRPr="00D756FC">
        <w:t>Pew Research Center, 2021; Pichler, 2011). Cosmopolitanism generally refers to “an openness to and appreciation of other cultures, values, and experiences,” often stemming from greater exposure to a wider array of people and ideas (Keating, 2016, p. 340).</w:t>
      </w:r>
      <w:r w:rsidR="00345181" w:rsidRPr="00086FE4">
        <w:t xml:space="preserve"> </w:t>
      </w:r>
      <w:r w:rsidR="00E132F1">
        <w:t xml:space="preserve">Prior studies suggest that political liberals consistently score higher on measures of “openness to experience” than political conservatives (Osborne &amp; Sibley, 2020). </w:t>
      </w:r>
    </w:p>
    <w:p w14:paraId="52028634" w14:textId="476EE2AE" w:rsidR="006D5EF7" w:rsidRDefault="00345181" w:rsidP="00345181">
      <w:pPr>
        <w:ind w:firstLine="720"/>
        <w:jc w:val="both"/>
      </w:pPr>
      <w:r w:rsidRPr="00F40F06">
        <w:t xml:space="preserve">The sociopolitical contexts of today’s adolescent youth are complex; shaped not only </w:t>
      </w:r>
      <w:r w:rsidR="006B5CF0" w:rsidRPr="00F40F06">
        <w:t xml:space="preserve">by ongoing political polarization and increased politicization of science and </w:t>
      </w:r>
      <w:r w:rsidR="00F26687">
        <w:t>nature protection</w:t>
      </w:r>
      <w:r w:rsidR="006B5CF0">
        <w:t>, but also</w:t>
      </w:r>
      <w:r w:rsidR="006B5CF0" w:rsidRPr="00F40F06">
        <w:t xml:space="preserve"> </w:t>
      </w:r>
      <w:r w:rsidRPr="00F40F06">
        <w:t xml:space="preserve">by the demographic characteristics of their families and communities. </w:t>
      </w:r>
      <w:r w:rsidR="006B5CF0">
        <w:t>T</w:t>
      </w:r>
      <w:r w:rsidRPr="00F40F06">
        <w:t xml:space="preserve">he middle school-aged youth in this study are likely still forming their own political orientations and partisan preferences. When students arrive to EE programs, they </w:t>
      </w:r>
      <w:r w:rsidR="00C06625">
        <w:t>may</w:t>
      </w:r>
      <w:r w:rsidRPr="00F40F06">
        <w:t xml:space="preserve"> carry with them the environmental views that dominate within their own politically distinct communities. Although Stern and colleagues (202</w:t>
      </w:r>
      <w:r w:rsidR="00954422">
        <w:t>2</w:t>
      </w:r>
      <w:r w:rsidRPr="00F40F06">
        <w:t>) found that students from different socioeconomic backgrounds experience EE programs differently, with poorer students generally exhibiting more positive outcomes, we know of no similar study exploring how EE may function differently in different sociopolitical contexts</w:t>
      </w:r>
      <w:r w:rsidR="00FD7924">
        <w:t>.</w:t>
      </w:r>
    </w:p>
    <w:p w14:paraId="09257892" w14:textId="77777777" w:rsidR="004663F6" w:rsidRDefault="004663F6" w:rsidP="00345181">
      <w:pPr>
        <w:rPr>
          <w:b/>
          <w:bCs/>
        </w:rPr>
      </w:pPr>
      <w:bookmarkStart w:id="11" w:name="_Hlk119682096"/>
    </w:p>
    <w:p w14:paraId="5198575F" w14:textId="77777777" w:rsidR="009B6560" w:rsidRPr="00D83170" w:rsidRDefault="009B6560" w:rsidP="009B6560">
      <w:pPr>
        <w:outlineLvl w:val="1"/>
        <w:rPr>
          <w:b/>
          <w:bCs/>
        </w:rPr>
      </w:pPr>
      <w:bookmarkStart w:id="12" w:name="_Toc101646947"/>
      <w:bookmarkStart w:id="13" w:name="_Hlk125629626"/>
      <w:bookmarkEnd w:id="11"/>
      <w:r w:rsidRPr="00D83170">
        <w:rPr>
          <w:b/>
          <w:bCs/>
        </w:rPr>
        <w:t>Methods</w:t>
      </w:r>
      <w:bookmarkEnd w:id="12"/>
    </w:p>
    <w:p w14:paraId="5C5CBE89" w14:textId="77777777" w:rsidR="009B6560" w:rsidRPr="00127270" w:rsidRDefault="009B6560" w:rsidP="009B6560">
      <w:pPr>
        <w:pStyle w:val="Heading3"/>
        <w:spacing w:before="0"/>
        <w:rPr>
          <w:rFonts w:ascii="Times New Roman" w:hAnsi="Times New Roman" w:cs="Times New Roman"/>
          <w:b/>
          <w:bCs/>
          <w:i/>
          <w:iCs/>
          <w:color w:val="auto"/>
        </w:rPr>
      </w:pPr>
      <w:bookmarkStart w:id="14" w:name="_Toc101646948"/>
      <w:r w:rsidRPr="00127270">
        <w:rPr>
          <w:rFonts w:ascii="Times New Roman" w:hAnsi="Times New Roman" w:cs="Times New Roman"/>
          <w:b/>
          <w:bCs/>
          <w:i/>
          <w:iCs/>
          <w:color w:val="auto"/>
        </w:rPr>
        <w:t>Study Overview</w:t>
      </w:r>
      <w:bookmarkEnd w:id="14"/>
    </w:p>
    <w:p w14:paraId="0A86860B" w14:textId="091B96C1" w:rsidR="008C3AEC" w:rsidRPr="007C0186" w:rsidRDefault="008C3AEC" w:rsidP="008C3AEC">
      <w:pPr>
        <w:ind w:firstLine="720"/>
        <w:jc w:val="both"/>
      </w:pPr>
      <w:r w:rsidRPr="00740CFC">
        <w:t xml:space="preserve">This research is part of a larger study designed to explore the relationships between specific pedagogical approaches and student outcomes on EE-related field trips in the U.S. (see </w:t>
      </w:r>
      <w:r w:rsidR="00CB3341">
        <w:t>Powell et al., 2022)</w:t>
      </w:r>
      <w:r w:rsidRPr="00740CFC">
        <w:t xml:space="preserve">. This study uses data collected from program observation, student participant questionnaires, and pre-existing databases at single-day EE field trip programs for students in grades 5-8 </w:t>
      </w:r>
      <w:r>
        <w:t xml:space="preserve">(ages 10-14) </w:t>
      </w:r>
      <w:r w:rsidRPr="00740CFC">
        <w:t xml:space="preserve">across the U.S. Program providers included national parks, state and local parks, nature centers, botanical gardens, wildlife reserves, farms, public forests, science museums, and other environmental </w:t>
      </w:r>
      <w:r w:rsidR="009F31D6">
        <w:t xml:space="preserve">and educational </w:t>
      </w:r>
      <w:r w:rsidRPr="007C0186">
        <w:t>organizations. Programs were selected to maximize the diversity of geographic locations, programmatic approaches, and the socioeconomic contexts in which they took place. We began by using Ruggiero’s (2016) ranking of statewide Environmental Literacy Plans as a proxy for the general status of EE in each state in the U</w:t>
      </w:r>
      <w:r w:rsidR="009F3C19">
        <w:t>.</w:t>
      </w:r>
      <w:r w:rsidRPr="007C0186">
        <w:t>S</w:t>
      </w:r>
      <w:r w:rsidR="009F3C19">
        <w:t>.</w:t>
      </w:r>
      <w:r w:rsidRPr="007C0186">
        <w:t xml:space="preserve"> and then aimed to select at least 10 program providers from states in each quartile of these rankings. We then worked with the North American Association of Environmental Education (NAAEE), the National Park Service (NPS), and the Association of Nature Center Administrators (ANCA),) to identify over 300 potential organizations providing programs that met our criteria. We selected program providers based on their scheduling of programs and our ability to observe multiple programs in a single week and to maximize diversity in terms of program types and the demographics of their participants. For more details on sampling, see </w:t>
      </w:r>
      <w:r w:rsidR="00CB3341">
        <w:t>Dale et al.</w:t>
      </w:r>
      <w:r w:rsidR="002F4539">
        <w:t xml:space="preserve"> (</w:t>
      </w:r>
      <w:r w:rsidR="00CB3341">
        <w:t>2020</w:t>
      </w:r>
      <w:r w:rsidR="002F4539">
        <w:t>)</w:t>
      </w:r>
      <w:r w:rsidRPr="007C0186">
        <w:t xml:space="preserve">. </w:t>
      </w:r>
    </w:p>
    <w:bookmarkEnd w:id="13"/>
    <w:p w14:paraId="3830261F" w14:textId="332B7C96" w:rsidR="009B6560" w:rsidRPr="00270CC3" w:rsidRDefault="009B6560" w:rsidP="00BE71FE">
      <w:pPr>
        <w:autoSpaceDE w:val="0"/>
        <w:autoSpaceDN w:val="0"/>
        <w:adjustRightInd w:val="0"/>
        <w:ind w:firstLine="720"/>
      </w:pPr>
      <w:r w:rsidRPr="0043788D">
        <w:rPr>
          <w:color w:val="000000" w:themeColor="text1"/>
        </w:rPr>
        <w:t>Following extensive training and calibration on the measurement of each indicator</w:t>
      </w:r>
      <w:r>
        <w:rPr>
          <w:color w:val="000000" w:themeColor="text1"/>
        </w:rPr>
        <w:t xml:space="preserve"> (see </w:t>
      </w:r>
      <w:r w:rsidR="00CB3341">
        <w:t>Powell et al., 2019</w:t>
      </w:r>
      <w:r w:rsidR="00472096">
        <w:t>; 2022</w:t>
      </w:r>
      <w:r>
        <w:rPr>
          <w:color w:val="000000" w:themeColor="text1"/>
        </w:rPr>
        <w:t>)</w:t>
      </w:r>
      <w:r w:rsidRPr="0043788D">
        <w:rPr>
          <w:color w:val="000000" w:themeColor="text1"/>
        </w:rPr>
        <w:t xml:space="preserve">, four pairs of researchers collected </w:t>
      </w:r>
      <w:r>
        <w:rPr>
          <w:color w:val="000000" w:themeColor="text1"/>
        </w:rPr>
        <w:t xml:space="preserve">observational </w:t>
      </w:r>
      <w:r w:rsidRPr="0043788D">
        <w:rPr>
          <w:color w:val="000000" w:themeColor="text1"/>
        </w:rPr>
        <w:t>data at 345 EE field trip programs for 5</w:t>
      </w:r>
      <w:r w:rsidRPr="0043788D">
        <w:rPr>
          <w:color w:val="000000" w:themeColor="text1"/>
          <w:vertAlign w:val="superscript"/>
        </w:rPr>
        <w:t>th</w:t>
      </w:r>
      <w:r w:rsidRPr="0043788D">
        <w:rPr>
          <w:color w:val="000000" w:themeColor="text1"/>
        </w:rPr>
        <w:t xml:space="preserve"> to 8</w:t>
      </w:r>
      <w:r w:rsidRPr="0043788D">
        <w:rPr>
          <w:color w:val="000000" w:themeColor="text1"/>
          <w:vertAlign w:val="superscript"/>
        </w:rPr>
        <w:t>th</w:t>
      </w:r>
      <w:r w:rsidRPr="0043788D">
        <w:rPr>
          <w:color w:val="000000" w:themeColor="text1"/>
        </w:rPr>
        <w:t xml:space="preserve"> graders between </w:t>
      </w:r>
      <w:r w:rsidRPr="0043788D">
        <w:t xml:space="preserve">January and June of 2018. </w:t>
      </w:r>
      <w:r w:rsidR="008C3AEC">
        <w:t xml:space="preserve">The research team most commonly followed subgroups </w:t>
      </w:r>
      <w:r w:rsidR="0061573F">
        <w:t xml:space="preserve">of students </w:t>
      </w:r>
      <w:r w:rsidR="008C3AEC">
        <w:t xml:space="preserve">on their field trips to ensure complete observation of their experiences (visiting school groups </w:t>
      </w:r>
      <w:r w:rsidR="0061573F">
        <w:t>most commonly</w:t>
      </w:r>
      <w:r w:rsidR="008C3AEC">
        <w:t xml:space="preserve"> sub-divide</w:t>
      </w:r>
      <w:r w:rsidR="0061573F">
        <w:t>d</w:t>
      </w:r>
      <w:r w:rsidR="008C3AEC">
        <w:t xml:space="preserve"> into smaller groups on-site). </w:t>
      </w:r>
      <w:bookmarkStart w:id="15" w:name="_Hlk125629606"/>
      <w:r w:rsidRPr="00A64018">
        <w:t xml:space="preserve">Immediately following each program, all attending students in grades 5-8 </w:t>
      </w:r>
      <w:r w:rsidR="008C3AEC">
        <w:t xml:space="preserve">in the observed groups </w:t>
      </w:r>
      <w:r w:rsidRPr="00A64018">
        <w:t xml:space="preserve">were invited to complete the EE21 survey </w:t>
      </w:r>
      <w:r>
        <w:t xml:space="preserve">(Powell et al., 2019) to assess </w:t>
      </w:r>
      <w:r w:rsidRPr="00A64018">
        <w:t xml:space="preserve">their opinions of </w:t>
      </w:r>
      <w:r w:rsidRPr="00A64018">
        <w:lastRenderedPageBreak/>
        <w:t>the program and its influence on them.</w:t>
      </w:r>
      <w:r>
        <w:t xml:space="preserve"> </w:t>
      </w:r>
      <w:r w:rsidR="008C3AEC">
        <w:t xml:space="preserve">Surveys were administered with a consistent script, offered in both English and Spanish, and took an average of 8 minutes to complete. </w:t>
      </w:r>
      <w:r>
        <w:t>Sociopolitical context measures were develop</w:t>
      </w:r>
      <w:r w:rsidR="00F213B2">
        <w:t>ed</w:t>
      </w:r>
      <w:r>
        <w:t xml:space="preserve"> from pre-existing </w:t>
      </w:r>
      <w:r w:rsidRPr="00270CC3">
        <w:t xml:space="preserve">databases. </w:t>
      </w:r>
      <w:r w:rsidR="00270CC3" w:rsidRPr="00270CC3">
        <w:rPr>
          <w:rFonts w:eastAsiaTheme="minorHAnsi"/>
        </w:rPr>
        <w:t>The research protocol was approved by the Virginia Tech Institutional Review Board (IRB), protocol # 15-1031, and the Clemson University IRB, protocol # IRB2016-154, PPN 2016000567.</w:t>
      </w:r>
    </w:p>
    <w:bookmarkEnd w:id="15"/>
    <w:p w14:paraId="0A3A46AE" w14:textId="77777777" w:rsidR="00F213B2" w:rsidRPr="00EA10DA" w:rsidRDefault="00F213B2" w:rsidP="00F213B2">
      <w:pPr>
        <w:ind w:firstLine="720"/>
        <w:jc w:val="both"/>
      </w:pPr>
    </w:p>
    <w:p w14:paraId="2A333FFD" w14:textId="77777777" w:rsidR="009B6560" w:rsidRPr="00127270" w:rsidRDefault="009B6560" w:rsidP="009B6560">
      <w:pPr>
        <w:pStyle w:val="Heading3"/>
        <w:spacing w:before="0"/>
        <w:rPr>
          <w:rFonts w:ascii="Times New Roman" w:hAnsi="Times New Roman" w:cs="Times New Roman"/>
          <w:b/>
          <w:bCs/>
          <w:i/>
          <w:iCs/>
          <w:color w:val="auto"/>
        </w:rPr>
      </w:pPr>
      <w:bookmarkStart w:id="16" w:name="_Toc101646951"/>
      <w:bookmarkStart w:id="17" w:name="_Hlk125629666"/>
      <w:r w:rsidRPr="00127270">
        <w:rPr>
          <w:rFonts w:ascii="Times New Roman" w:hAnsi="Times New Roman" w:cs="Times New Roman"/>
          <w:b/>
          <w:bCs/>
          <w:i/>
          <w:iCs/>
          <w:color w:val="auto"/>
        </w:rPr>
        <w:t>Measurement</w:t>
      </w:r>
      <w:bookmarkEnd w:id="16"/>
    </w:p>
    <w:p w14:paraId="0B2AA6C1" w14:textId="77777777" w:rsidR="009B6560" w:rsidRPr="00D90D48" w:rsidRDefault="009B6560" w:rsidP="009B6560">
      <w:pPr>
        <w:jc w:val="both"/>
      </w:pPr>
      <w:r w:rsidRPr="00D90D48">
        <w:rPr>
          <w:i/>
          <w:iCs/>
        </w:rPr>
        <w:t>Program outcomes</w:t>
      </w:r>
    </w:p>
    <w:p w14:paraId="7E4BE56B" w14:textId="65835F84" w:rsidR="009B6560" w:rsidRDefault="009B6560" w:rsidP="009B6560">
      <w:pPr>
        <w:ind w:firstLine="720"/>
        <w:jc w:val="both"/>
      </w:pPr>
      <w:r w:rsidRPr="00886016">
        <w:t xml:space="preserve">Paper surveys were administered to all student participants immediately after each observed program before they left the site of their field trip. The </w:t>
      </w:r>
      <w:r w:rsidRPr="00886016">
        <w:rPr>
          <w:b/>
          <w:bCs/>
        </w:rPr>
        <w:t>EE21 scale</w:t>
      </w:r>
      <w:r w:rsidRPr="00886016">
        <w:rPr>
          <w:rStyle w:val="CommentReference"/>
          <w:sz w:val="24"/>
          <w:szCs w:val="24"/>
        </w:rPr>
        <w:t xml:space="preserve">, which represents the </w:t>
      </w:r>
      <w:r w:rsidR="00BF476C">
        <w:rPr>
          <w:rStyle w:val="CommentReference"/>
          <w:sz w:val="24"/>
          <w:szCs w:val="24"/>
        </w:rPr>
        <w:t xml:space="preserve">composite </w:t>
      </w:r>
      <w:r w:rsidRPr="00886016">
        <w:rPr>
          <w:rStyle w:val="CommentReference"/>
          <w:sz w:val="24"/>
          <w:szCs w:val="24"/>
        </w:rPr>
        <w:t xml:space="preserve">mean of all subscales in Table </w:t>
      </w:r>
      <w:r w:rsidR="00C437CB">
        <w:rPr>
          <w:rStyle w:val="CommentReference"/>
          <w:sz w:val="24"/>
          <w:szCs w:val="24"/>
        </w:rPr>
        <w:t>1</w:t>
      </w:r>
      <w:r w:rsidRPr="00886016">
        <w:rPr>
          <w:rStyle w:val="CommentReference"/>
          <w:sz w:val="24"/>
          <w:szCs w:val="24"/>
        </w:rPr>
        <w:t>, w</w:t>
      </w:r>
      <w:r w:rsidRPr="00886016">
        <w:t>as developed through an extensive collaborative process between EE professionals and researchers</w:t>
      </w:r>
      <w:r w:rsidR="0061573F">
        <w:t xml:space="preserve"> coupled with rigorous</w:t>
      </w:r>
      <w:r w:rsidRPr="00886016">
        <w:t xml:space="preserve"> statistical validation </w:t>
      </w:r>
      <w:r w:rsidR="00843618">
        <w:t xml:space="preserve">to broadly represent key concepts associated with environmental literacy relevant to a wide array of EE programs </w:t>
      </w:r>
      <w:r w:rsidRPr="00886016">
        <w:t xml:space="preserve">(see Powell et al., 2019 for details). Prior analyses of national data using this scale revealed a significant upward response bias for Latinx respondents and significantly higher outcomes scores for fifth grade students (Stern et al., 2022). We thus controlled for grade level and race in this study by group-mean-centering the EE21 outcome measure for each grade level (grades 5, 6, 7, 8) and group racial majority (majority White, majority Black, majority Latinx, no racial majority). We removed programs with multigrade groups or groups of unknown racial majority from our analyses (see </w:t>
      </w:r>
      <w:r w:rsidRPr="00886016">
        <w:rPr>
          <w:i/>
          <w:iCs/>
        </w:rPr>
        <w:t>Data cleaning &amp; aggregation</w:t>
      </w:r>
      <w:r w:rsidRPr="00886016">
        <w:t xml:space="preserve">). Following group-mean-centering, the resulting overall mean for the group-mean-centered EE21 outcome score is zero. In effect, this process eliminates the influence of race and grade level in subsequent analyses. </w:t>
      </w:r>
      <w:r w:rsidR="008C3AEC">
        <w:t xml:space="preserve">Original mean scores (on the 1-to-10 scales, prior to group-mean-centering) are provided in Table </w:t>
      </w:r>
      <w:r w:rsidR="00C437CB">
        <w:t>1</w:t>
      </w:r>
      <w:r w:rsidR="008C3AEC">
        <w:t>.</w:t>
      </w:r>
    </w:p>
    <w:p w14:paraId="40AD39A0" w14:textId="77777777" w:rsidR="009B6560" w:rsidRDefault="009B6560" w:rsidP="009B6560">
      <w:pPr>
        <w:ind w:firstLine="720"/>
        <w:jc w:val="both"/>
      </w:pPr>
    </w:p>
    <w:p w14:paraId="50887D6D" w14:textId="60C40AF3" w:rsidR="009B6560" w:rsidRPr="00831C47" w:rsidRDefault="009B6560" w:rsidP="009B6560">
      <w:pPr>
        <w:rPr>
          <w:sz w:val="22"/>
          <w:szCs w:val="22"/>
        </w:rPr>
      </w:pPr>
      <w:r w:rsidRPr="00831C47">
        <w:rPr>
          <w:i/>
          <w:iCs/>
          <w:sz w:val="22"/>
          <w:szCs w:val="22"/>
        </w:rPr>
        <w:t>Table</w:t>
      </w:r>
      <w:r>
        <w:rPr>
          <w:i/>
          <w:iCs/>
          <w:sz w:val="22"/>
          <w:szCs w:val="22"/>
        </w:rPr>
        <w:t xml:space="preserve"> </w:t>
      </w:r>
      <w:r w:rsidR="00C437CB">
        <w:rPr>
          <w:i/>
          <w:iCs/>
          <w:sz w:val="22"/>
          <w:szCs w:val="22"/>
        </w:rPr>
        <w:t>1</w:t>
      </w:r>
      <w:r w:rsidRPr="00831C47">
        <w:rPr>
          <w:i/>
          <w:iCs/>
          <w:sz w:val="22"/>
          <w:szCs w:val="22"/>
        </w:rPr>
        <w:t>. Environmental Education Outcomes for the 21</w:t>
      </w:r>
      <w:r w:rsidRPr="00831C47">
        <w:rPr>
          <w:i/>
          <w:iCs/>
          <w:sz w:val="22"/>
          <w:szCs w:val="22"/>
          <w:vertAlign w:val="superscript"/>
        </w:rPr>
        <w:t>st</w:t>
      </w:r>
      <w:r w:rsidRPr="00831C47">
        <w:rPr>
          <w:i/>
          <w:iCs/>
          <w:sz w:val="22"/>
          <w:szCs w:val="22"/>
        </w:rPr>
        <w:t xml:space="preserve"> Century (EE21)</w:t>
      </w:r>
      <w:r>
        <w:rPr>
          <w:i/>
          <w:iCs/>
          <w:sz w:val="22"/>
          <w:szCs w:val="22"/>
        </w:rPr>
        <w:t>. All items measured on a 0-to-10 scale</w:t>
      </w:r>
      <w:r w:rsidRPr="00831C47">
        <w:rPr>
          <w:i/>
          <w:iCs/>
          <w:sz w:val="22"/>
          <w:szCs w:val="22"/>
        </w:rPr>
        <w:t xml:space="preserve"> (Powell et al., 2019</w:t>
      </w:r>
      <w:r w:rsidR="002C1775">
        <w:rPr>
          <w:i/>
          <w:iCs/>
          <w:sz w:val="22"/>
          <w:szCs w:val="22"/>
        </w:rPr>
        <w:t>). M = Mean; SD = Standard deviation</w:t>
      </w:r>
      <w:r w:rsidR="005E1261">
        <w:rPr>
          <w:i/>
          <w:iCs/>
          <w:sz w:val="22"/>
          <w:szCs w:val="22"/>
        </w:rPr>
        <w:t>, prior to group-mean-centering for grade level and racial majority of the group</w:t>
      </w:r>
      <w:r w:rsidR="002C1775">
        <w:rPr>
          <w:i/>
          <w:iCs/>
          <w:sz w:val="22"/>
          <w:szCs w:val="22"/>
        </w:rPr>
        <w:t xml:space="preserve">. </w:t>
      </w:r>
    </w:p>
    <w:tbl>
      <w:tblPr>
        <w:tblStyle w:val="TableGrid"/>
        <w:tblW w:w="0" w:type="auto"/>
        <w:tblLook w:val="04A0" w:firstRow="1" w:lastRow="0" w:firstColumn="1" w:lastColumn="0" w:noHBand="0" w:noVBand="1"/>
      </w:tblPr>
      <w:tblGrid>
        <w:gridCol w:w="2425"/>
        <w:gridCol w:w="3330"/>
        <w:gridCol w:w="3595"/>
      </w:tblGrid>
      <w:tr w:rsidR="009B6560" w:rsidRPr="00831C47" w14:paraId="0B13BEA6" w14:textId="77777777" w:rsidTr="001A08FA">
        <w:tc>
          <w:tcPr>
            <w:tcW w:w="9350" w:type="dxa"/>
            <w:gridSpan w:val="3"/>
          </w:tcPr>
          <w:p w14:paraId="1F409152" w14:textId="77777777" w:rsidR="009B6560" w:rsidRPr="00831C47" w:rsidRDefault="009B6560" w:rsidP="001A08FA">
            <w:pPr>
              <w:jc w:val="center"/>
              <w:rPr>
                <w:sz w:val="18"/>
                <w:szCs w:val="18"/>
              </w:rPr>
            </w:pPr>
            <w:r w:rsidRPr="00831C47">
              <w:rPr>
                <w:b/>
                <w:bCs/>
                <w:sz w:val="18"/>
                <w:szCs w:val="18"/>
              </w:rPr>
              <w:t>Environmental Education Outcomes for the 21</w:t>
            </w:r>
            <w:r w:rsidRPr="00831C47">
              <w:rPr>
                <w:b/>
                <w:bCs/>
                <w:sz w:val="18"/>
                <w:szCs w:val="18"/>
                <w:vertAlign w:val="superscript"/>
              </w:rPr>
              <w:t>st</w:t>
            </w:r>
            <w:r w:rsidRPr="00831C47">
              <w:rPr>
                <w:b/>
                <w:bCs/>
                <w:sz w:val="18"/>
                <w:szCs w:val="18"/>
              </w:rPr>
              <w:t xml:space="preserve"> Century (EE21)</w:t>
            </w:r>
          </w:p>
        </w:tc>
      </w:tr>
      <w:tr w:rsidR="009B6560" w:rsidRPr="00831C47" w14:paraId="6A488094" w14:textId="77777777" w:rsidTr="001A08FA">
        <w:tc>
          <w:tcPr>
            <w:tcW w:w="2425" w:type="dxa"/>
          </w:tcPr>
          <w:p w14:paraId="0F85A134" w14:textId="77777777" w:rsidR="009B6560" w:rsidRPr="00831C47" w:rsidRDefault="009B6560" w:rsidP="001A08FA">
            <w:pPr>
              <w:rPr>
                <w:b/>
                <w:bCs/>
                <w:sz w:val="18"/>
                <w:szCs w:val="18"/>
              </w:rPr>
            </w:pPr>
            <w:r w:rsidRPr="00831C47">
              <w:rPr>
                <w:b/>
                <w:bCs/>
                <w:sz w:val="18"/>
                <w:szCs w:val="18"/>
              </w:rPr>
              <w:t>Outcome</w:t>
            </w:r>
          </w:p>
        </w:tc>
        <w:tc>
          <w:tcPr>
            <w:tcW w:w="3330" w:type="dxa"/>
          </w:tcPr>
          <w:p w14:paraId="1485F287" w14:textId="77777777" w:rsidR="009B6560" w:rsidRPr="00831C47" w:rsidRDefault="009B6560" w:rsidP="001A08FA">
            <w:pPr>
              <w:rPr>
                <w:b/>
                <w:bCs/>
                <w:sz w:val="18"/>
                <w:szCs w:val="18"/>
              </w:rPr>
            </w:pPr>
            <w:r w:rsidRPr="00831C47">
              <w:rPr>
                <w:b/>
                <w:bCs/>
                <w:sz w:val="18"/>
                <w:szCs w:val="18"/>
              </w:rPr>
              <w:t>Definition</w:t>
            </w:r>
          </w:p>
        </w:tc>
        <w:tc>
          <w:tcPr>
            <w:tcW w:w="3595" w:type="dxa"/>
          </w:tcPr>
          <w:p w14:paraId="71B5E614" w14:textId="77777777" w:rsidR="009B6560" w:rsidRPr="00831C47" w:rsidRDefault="009B6560" w:rsidP="001A08FA">
            <w:pPr>
              <w:rPr>
                <w:b/>
                <w:bCs/>
                <w:sz w:val="18"/>
                <w:szCs w:val="18"/>
              </w:rPr>
            </w:pPr>
            <w:r w:rsidRPr="00831C47">
              <w:rPr>
                <w:b/>
                <w:bCs/>
                <w:sz w:val="18"/>
                <w:szCs w:val="18"/>
              </w:rPr>
              <w:t>Items</w:t>
            </w:r>
          </w:p>
        </w:tc>
      </w:tr>
      <w:tr w:rsidR="009B6560" w:rsidRPr="00831C47" w14:paraId="035A105F" w14:textId="77777777" w:rsidTr="001A08FA">
        <w:tc>
          <w:tcPr>
            <w:tcW w:w="2425" w:type="dxa"/>
          </w:tcPr>
          <w:p w14:paraId="56FE6E3D" w14:textId="77777777" w:rsidR="009B6560" w:rsidRDefault="009B6560" w:rsidP="001A08FA">
            <w:pPr>
              <w:rPr>
                <w:b/>
                <w:bCs/>
                <w:sz w:val="18"/>
                <w:szCs w:val="18"/>
              </w:rPr>
            </w:pPr>
            <w:r w:rsidRPr="00831C47">
              <w:rPr>
                <w:b/>
                <w:bCs/>
                <w:sz w:val="18"/>
                <w:szCs w:val="18"/>
              </w:rPr>
              <w:t>Place Connection</w:t>
            </w:r>
          </w:p>
          <w:p w14:paraId="7A799C95" w14:textId="6F309E59" w:rsidR="002C1775" w:rsidRPr="00831C47" w:rsidRDefault="002C1775" w:rsidP="001A08FA">
            <w:pPr>
              <w:rPr>
                <w:b/>
                <w:bCs/>
                <w:sz w:val="18"/>
                <w:szCs w:val="18"/>
              </w:rPr>
            </w:pPr>
            <w:r>
              <w:rPr>
                <w:b/>
                <w:bCs/>
                <w:sz w:val="18"/>
                <w:szCs w:val="18"/>
              </w:rPr>
              <w:t>(M = 7.85; SD = 1.19)</w:t>
            </w:r>
          </w:p>
        </w:tc>
        <w:tc>
          <w:tcPr>
            <w:tcW w:w="3330" w:type="dxa"/>
          </w:tcPr>
          <w:p w14:paraId="2678F2C5" w14:textId="77777777" w:rsidR="009B6560" w:rsidRPr="00831C47" w:rsidRDefault="009B6560" w:rsidP="001A08FA">
            <w:pPr>
              <w:autoSpaceDE w:val="0"/>
              <w:autoSpaceDN w:val="0"/>
              <w:adjustRightInd w:val="0"/>
              <w:rPr>
                <w:sz w:val="16"/>
                <w:szCs w:val="16"/>
              </w:rPr>
            </w:pPr>
            <w:r w:rsidRPr="00831C47">
              <w:rPr>
                <w:sz w:val="16"/>
                <w:szCs w:val="16"/>
              </w:rPr>
              <w:t>The development of appreciation for and positive personal relationships with the physical location and its story.</w:t>
            </w:r>
          </w:p>
        </w:tc>
        <w:tc>
          <w:tcPr>
            <w:tcW w:w="3595" w:type="dxa"/>
          </w:tcPr>
          <w:p w14:paraId="0906461D" w14:textId="77777777" w:rsidR="009B6560" w:rsidRPr="00831C47" w:rsidRDefault="009B6560" w:rsidP="001A08FA">
            <w:pPr>
              <w:autoSpaceDE w:val="0"/>
              <w:autoSpaceDN w:val="0"/>
              <w:adjustRightInd w:val="0"/>
              <w:rPr>
                <w:sz w:val="16"/>
                <w:szCs w:val="16"/>
              </w:rPr>
            </w:pPr>
            <w:r w:rsidRPr="00831C47">
              <w:rPr>
                <w:sz w:val="16"/>
                <w:szCs w:val="16"/>
              </w:rPr>
              <w:t>How much do you agree with the following statements? (anchors: not at all, some, totally)</w:t>
            </w:r>
          </w:p>
          <w:p w14:paraId="50BC7225" w14:textId="77777777" w:rsidR="009B6560" w:rsidRPr="00831C47" w:rsidRDefault="009B6560" w:rsidP="009B6560">
            <w:pPr>
              <w:pStyle w:val="ListParagraph"/>
              <w:numPr>
                <w:ilvl w:val="0"/>
                <w:numId w:val="9"/>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Knowing this place exists makes me feel good.</w:t>
            </w:r>
          </w:p>
          <w:p w14:paraId="6873C457" w14:textId="77777777" w:rsidR="009B6560" w:rsidRPr="00831C47" w:rsidRDefault="009B6560" w:rsidP="009B6560">
            <w:pPr>
              <w:pStyle w:val="ListParagraph"/>
              <w:numPr>
                <w:ilvl w:val="0"/>
                <w:numId w:val="9"/>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I want to visit this place again.</w:t>
            </w:r>
          </w:p>
          <w:p w14:paraId="3C4021B6" w14:textId="77777777" w:rsidR="009B6560" w:rsidRPr="00831C47" w:rsidRDefault="009B6560" w:rsidP="009B6560">
            <w:pPr>
              <w:pStyle w:val="ListParagraph"/>
              <w:numPr>
                <w:ilvl w:val="0"/>
                <w:numId w:val="9"/>
              </w:numPr>
              <w:rPr>
                <w:rFonts w:ascii="Times New Roman" w:hAnsi="Times New Roman" w:cs="Times New Roman"/>
                <w:sz w:val="16"/>
                <w:szCs w:val="16"/>
              </w:rPr>
            </w:pPr>
            <w:r w:rsidRPr="00831C47">
              <w:rPr>
                <w:rFonts w:ascii="Times New Roman" w:hAnsi="Times New Roman" w:cs="Times New Roman"/>
                <w:sz w:val="16"/>
                <w:szCs w:val="16"/>
              </w:rPr>
              <w:t>I care about this place.</w:t>
            </w:r>
          </w:p>
        </w:tc>
      </w:tr>
      <w:tr w:rsidR="009B6560" w:rsidRPr="00831C47" w14:paraId="53F997CE" w14:textId="77777777" w:rsidTr="001A08FA">
        <w:tc>
          <w:tcPr>
            <w:tcW w:w="2425" w:type="dxa"/>
          </w:tcPr>
          <w:p w14:paraId="6CD34D59" w14:textId="77777777" w:rsidR="009B6560" w:rsidRDefault="009B6560" w:rsidP="001A08FA">
            <w:pPr>
              <w:rPr>
                <w:b/>
                <w:bCs/>
                <w:sz w:val="18"/>
                <w:szCs w:val="18"/>
              </w:rPr>
            </w:pPr>
            <w:r w:rsidRPr="00831C47">
              <w:rPr>
                <w:b/>
                <w:bCs/>
                <w:sz w:val="18"/>
                <w:szCs w:val="18"/>
              </w:rPr>
              <w:t>Learning</w:t>
            </w:r>
          </w:p>
          <w:p w14:paraId="3132CA67" w14:textId="16A187CF" w:rsidR="002C1775" w:rsidRPr="00831C47" w:rsidRDefault="002C1775" w:rsidP="001A08FA">
            <w:pPr>
              <w:rPr>
                <w:b/>
                <w:bCs/>
                <w:sz w:val="18"/>
                <w:szCs w:val="18"/>
              </w:rPr>
            </w:pPr>
            <w:r>
              <w:rPr>
                <w:b/>
                <w:bCs/>
                <w:sz w:val="18"/>
                <w:szCs w:val="18"/>
              </w:rPr>
              <w:t>(M = 7.60; SD = 1.00)</w:t>
            </w:r>
          </w:p>
        </w:tc>
        <w:tc>
          <w:tcPr>
            <w:tcW w:w="3330" w:type="dxa"/>
          </w:tcPr>
          <w:p w14:paraId="048BAC9C" w14:textId="77777777" w:rsidR="009B6560" w:rsidRPr="00831C47" w:rsidRDefault="009B6560" w:rsidP="001A08FA">
            <w:pPr>
              <w:autoSpaceDE w:val="0"/>
              <w:autoSpaceDN w:val="0"/>
              <w:adjustRightInd w:val="0"/>
              <w:rPr>
                <w:sz w:val="16"/>
                <w:szCs w:val="16"/>
              </w:rPr>
            </w:pPr>
            <w:r w:rsidRPr="00831C47">
              <w:rPr>
                <w:sz w:val="16"/>
                <w:szCs w:val="16"/>
              </w:rPr>
              <w:t>Knowledge regarding the interconnectedness and interdependence between human and environmental systems.</w:t>
            </w:r>
          </w:p>
        </w:tc>
        <w:tc>
          <w:tcPr>
            <w:tcW w:w="3595" w:type="dxa"/>
          </w:tcPr>
          <w:p w14:paraId="7D699251" w14:textId="77777777" w:rsidR="009B6560" w:rsidRPr="00831C47" w:rsidRDefault="009B6560" w:rsidP="001A08FA">
            <w:pPr>
              <w:autoSpaceDE w:val="0"/>
              <w:autoSpaceDN w:val="0"/>
              <w:adjustRightInd w:val="0"/>
              <w:rPr>
                <w:sz w:val="16"/>
                <w:szCs w:val="16"/>
              </w:rPr>
            </w:pPr>
            <w:r w:rsidRPr="00831C47">
              <w:rPr>
                <w:sz w:val="16"/>
                <w:szCs w:val="16"/>
              </w:rPr>
              <w:t>How much did you learn about each of the following things as a result of</w:t>
            </w:r>
            <w:r>
              <w:rPr>
                <w:sz w:val="16"/>
                <w:szCs w:val="16"/>
              </w:rPr>
              <w:t xml:space="preserve"> this field trip</w:t>
            </w:r>
            <w:r w:rsidRPr="00831C47">
              <w:rPr>
                <w:sz w:val="16"/>
                <w:szCs w:val="16"/>
              </w:rPr>
              <w:t>? (anchors: nothing at all, a fair amount, a huge amount)</w:t>
            </w:r>
          </w:p>
          <w:p w14:paraId="561F2FBA" w14:textId="77777777" w:rsidR="009B6560" w:rsidRPr="00831C47" w:rsidRDefault="009B6560" w:rsidP="009B6560">
            <w:pPr>
              <w:pStyle w:val="ListParagraph"/>
              <w:numPr>
                <w:ilvl w:val="0"/>
                <w:numId w:val="10"/>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How different parts of the environment interact with</w:t>
            </w:r>
          </w:p>
          <w:p w14:paraId="0576C79E" w14:textId="77777777" w:rsidR="009B6560" w:rsidRPr="00831C47" w:rsidRDefault="009B6560" w:rsidP="009B6560">
            <w:pPr>
              <w:pStyle w:val="ListParagraph"/>
              <w:numPr>
                <w:ilvl w:val="0"/>
                <w:numId w:val="10"/>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each other.</w:t>
            </w:r>
          </w:p>
          <w:p w14:paraId="38D4B218" w14:textId="77777777" w:rsidR="009B6560" w:rsidRPr="00831C47" w:rsidRDefault="009B6560" w:rsidP="009B6560">
            <w:pPr>
              <w:pStyle w:val="ListParagraph"/>
              <w:numPr>
                <w:ilvl w:val="0"/>
                <w:numId w:val="10"/>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How people can change the environment.</w:t>
            </w:r>
          </w:p>
          <w:p w14:paraId="52C11750" w14:textId="77777777" w:rsidR="009B6560" w:rsidRPr="00831C47" w:rsidRDefault="009B6560" w:rsidP="009B6560">
            <w:pPr>
              <w:pStyle w:val="ListParagraph"/>
              <w:numPr>
                <w:ilvl w:val="0"/>
                <w:numId w:val="10"/>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How changes in the environment can impact my life.</w:t>
            </w:r>
          </w:p>
          <w:p w14:paraId="54A834AC" w14:textId="77777777" w:rsidR="009B6560" w:rsidRPr="00831C47" w:rsidRDefault="009B6560" w:rsidP="009B6560">
            <w:pPr>
              <w:pStyle w:val="ListParagraph"/>
              <w:numPr>
                <w:ilvl w:val="0"/>
                <w:numId w:val="10"/>
              </w:numPr>
              <w:rPr>
                <w:rFonts w:ascii="Times New Roman" w:hAnsi="Times New Roman" w:cs="Times New Roman"/>
                <w:sz w:val="16"/>
                <w:szCs w:val="16"/>
              </w:rPr>
            </w:pPr>
            <w:r w:rsidRPr="00831C47">
              <w:rPr>
                <w:rFonts w:ascii="Times New Roman" w:hAnsi="Times New Roman" w:cs="Times New Roman"/>
                <w:sz w:val="16"/>
                <w:szCs w:val="16"/>
              </w:rPr>
              <w:t>How my actions affect the environment.</w:t>
            </w:r>
          </w:p>
        </w:tc>
      </w:tr>
      <w:tr w:rsidR="009B6560" w:rsidRPr="00831C47" w14:paraId="11D16810" w14:textId="77777777" w:rsidTr="001A08FA">
        <w:tc>
          <w:tcPr>
            <w:tcW w:w="2425" w:type="dxa"/>
          </w:tcPr>
          <w:p w14:paraId="7CC3E2A4" w14:textId="77777777" w:rsidR="009B6560" w:rsidRDefault="009B6560" w:rsidP="001A08FA">
            <w:pPr>
              <w:rPr>
                <w:b/>
                <w:bCs/>
                <w:sz w:val="18"/>
                <w:szCs w:val="18"/>
              </w:rPr>
            </w:pPr>
            <w:r w:rsidRPr="00831C47">
              <w:rPr>
                <w:b/>
                <w:bCs/>
                <w:sz w:val="18"/>
                <w:szCs w:val="18"/>
              </w:rPr>
              <w:t>Interest in Learnin</w:t>
            </w:r>
            <w:r w:rsidR="002C1775">
              <w:rPr>
                <w:b/>
                <w:bCs/>
                <w:sz w:val="18"/>
                <w:szCs w:val="18"/>
              </w:rPr>
              <w:t>g</w:t>
            </w:r>
          </w:p>
          <w:p w14:paraId="29419433" w14:textId="18E30010" w:rsidR="002C1775" w:rsidRPr="00831C47" w:rsidRDefault="002C1775" w:rsidP="001A08FA">
            <w:pPr>
              <w:rPr>
                <w:b/>
                <w:bCs/>
                <w:sz w:val="18"/>
                <w:szCs w:val="18"/>
              </w:rPr>
            </w:pPr>
            <w:r>
              <w:rPr>
                <w:b/>
                <w:bCs/>
                <w:sz w:val="18"/>
                <w:szCs w:val="18"/>
              </w:rPr>
              <w:t>(M = 6.61; SD = 1.39)</w:t>
            </w:r>
          </w:p>
        </w:tc>
        <w:tc>
          <w:tcPr>
            <w:tcW w:w="3330" w:type="dxa"/>
          </w:tcPr>
          <w:p w14:paraId="53DF449D" w14:textId="77777777" w:rsidR="009B6560" w:rsidRPr="00831C47" w:rsidRDefault="009B6560" w:rsidP="001A08FA">
            <w:pPr>
              <w:autoSpaceDE w:val="0"/>
              <w:autoSpaceDN w:val="0"/>
              <w:adjustRightInd w:val="0"/>
              <w:rPr>
                <w:sz w:val="16"/>
                <w:szCs w:val="16"/>
              </w:rPr>
            </w:pPr>
            <w:r w:rsidRPr="00831C47">
              <w:rPr>
                <w:sz w:val="16"/>
                <w:szCs w:val="16"/>
              </w:rPr>
              <w:t>Enhanced curiosity, increased interest in learning about science and the environment.</w:t>
            </w:r>
          </w:p>
        </w:tc>
        <w:tc>
          <w:tcPr>
            <w:tcW w:w="3595" w:type="dxa"/>
          </w:tcPr>
          <w:p w14:paraId="37581DF1" w14:textId="77777777" w:rsidR="009B6560" w:rsidRPr="00831C47" w:rsidRDefault="009B6560" w:rsidP="001A08FA">
            <w:pPr>
              <w:autoSpaceDE w:val="0"/>
              <w:autoSpaceDN w:val="0"/>
              <w:adjustRightInd w:val="0"/>
              <w:rPr>
                <w:sz w:val="16"/>
                <w:szCs w:val="16"/>
              </w:rPr>
            </w:pPr>
            <w:r w:rsidRPr="00831C47">
              <w:rPr>
                <w:sz w:val="16"/>
                <w:szCs w:val="16"/>
              </w:rPr>
              <w:t xml:space="preserve">Did </w:t>
            </w:r>
            <w:r>
              <w:rPr>
                <w:sz w:val="16"/>
                <w:szCs w:val="16"/>
              </w:rPr>
              <w:t>this field trip</w:t>
            </w:r>
            <w:r w:rsidRPr="00831C47">
              <w:rPr>
                <w:sz w:val="16"/>
                <w:szCs w:val="16"/>
              </w:rPr>
              <w:t xml:space="preserve"> make you feel any </w:t>
            </w:r>
            <w:r w:rsidRPr="00831C47">
              <w:rPr>
                <w:sz w:val="16"/>
                <w:szCs w:val="16"/>
                <w:u w:val="single"/>
              </w:rPr>
              <w:t>more interested</w:t>
            </w:r>
            <w:r w:rsidRPr="00831C47">
              <w:rPr>
                <w:sz w:val="16"/>
                <w:szCs w:val="16"/>
              </w:rPr>
              <w:t xml:space="preserve"> in any of the following things? (anchors: not at all, more interested</w:t>
            </w:r>
          </w:p>
          <w:p w14:paraId="4A817766" w14:textId="77777777" w:rsidR="009B6560" w:rsidRPr="00831C47" w:rsidRDefault="009B6560" w:rsidP="001A08FA">
            <w:pPr>
              <w:autoSpaceDE w:val="0"/>
              <w:autoSpaceDN w:val="0"/>
              <w:adjustRightInd w:val="0"/>
              <w:rPr>
                <w:sz w:val="16"/>
                <w:szCs w:val="16"/>
              </w:rPr>
            </w:pPr>
            <w:r w:rsidRPr="00831C47">
              <w:rPr>
                <w:sz w:val="16"/>
                <w:szCs w:val="16"/>
              </w:rPr>
              <w:t>much more interested)</w:t>
            </w:r>
          </w:p>
          <w:p w14:paraId="63CE5D84" w14:textId="77777777" w:rsidR="009B6560" w:rsidRPr="00831C47" w:rsidRDefault="009B6560" w:rsidP="009B6560">
            <w:pPr>
              <w:pStyle w:val="ListParagraph"/>
              <w:numPr>
                <w:ilvl w:val="0"/>
                <w:numId w:val="11"/>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Science.</w:t>
            </w:r>
          </w:p>
          <w:p w14:paraId="7EE68C82" w14:textId="77777777" w:rsidR="009B6560" w:rsidRPr="00831C47" w:rsidRDefault="009B6560" w:rsidP="009B6560">
            <w:pPr>
              <w:pStyle w:val="ListParagraph"/>
              <w:numPr>
                <w:ilvl w:val="0"/>
                <w:numId w:val="11"/>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How to research things I am curious about.</w:t>
            </w:r>
          </w:p>
          <w:p w14:paraId="6DA94538" w14:textId="77777777" w:rsidR="009B6560" w:rsidRPr="00831C47" w:rsidRDefault="009B6560" w:rsidP="009B6560">
            <w:pPr>
              <w:pStyle w:val="ListParagraph"/>
              <w:numPr>
                <w:ilvl w:val="0"/>
                <w:numId w:val="11"/>
              </w:numPr>
              <w:rPr>
                <w:rFonts w:ascii="Times New Roman" w:hAnsi="Times New Roman" w:cs="Times New Roman"/>
                <w:sz w:val="16"/>
                <w:szCs w:val="16"/>
              </w:rPr>
            </w:pPr>
            <w:r w:rsidRPr="00831C47">
              <w:rPr>
                <w:rFonts w:ascii="Times New Roman" w:hAnsi="Times New Roman" w:cs="Times New Roman"/>
                <w:sz w:val="16"/>
                <w:szCs w:val="16"/>
              </w:rPr>
              <w:t>Learning about new subjects in school.</w:t>
            </w:r>
          </w:p>
        </w:tc>
      </w:tr>
      <w:tr w:rsidR="009B6560" w:rsidRPr="00831C47" w14:paraId="595DEADC" w14:textId="77777777" w:rsidTr="001A08FA">
        <w:tc>
          <w:tcPr>
            <w:tcW w:w="2425" w:type="dxa"/>
          </w:tcPr>
          <w:p w14:paraId="513F7E21" w14:textId="77777777" w:rsidR="009B6560" w:rsidRDefault="009B6560" w:rsidP="001A08FA">
            <w:pPr>
              <w:rPr>
                <w:b/>
                <w:bCs/>
                <w:sz w:val="18"/>
                <w:szCs w:val="18"/>
              </w:rPr>
            </w:pPr>
            <w:r w:rsidRPr="00831C47">
              <w:rPr>
                <w:b/>
                <w:bCs/>
                <w:sz w:val="18"/>
                <w:szCs w:val="18"/>
              </w:rPr>
              <w:lastRenderedPageBreak/>
              <w:t>21</w:t>
            </w:r>
            <w:r w:rsidRPr="00831C47">
              <w:rPr>
                <w:b/>
                <w:bCs/>
                <w:sz w:val="18"/>
                <w:szCs w:val="18"/>
                <w:vertAlign w:val="superscript"/>
              </w:rPr>
              <w:t>st</w:t>
            </w:r>
            <w:r w:rsidRPr="00831C47">
              <w:rPr>
                <w:b/>
                <w:bCs/>
                <w:sz w:val="18"/>
                <w:szCs w:val="18"/>
              </w:rPr>
              <w:t xml:space="preserve"> Century Skills</w:t>
            </w:r>
          </w:p>
          <w:p w14:paraId="2991E4E3" w14:textId="43E10E71" w:rsidR="002C1775" w:rsidRPr="00831C47" w:rsidRDefault="002C1775" w:rsidP="001A08FA">
            <w:pPr>
              <w:rPr>
                <w:b/>
                <w:bCs/>
                <w:sz w:val="18"/>
                <w:szCs w:val="18"/>
              </w:rPr>
            </w:pPr>
            <w:r>
              <w:rPr>
                <w:b/>
                <w:bCs/>
                <w:sz w:val="18"/>
                <w:szCs w:val="18"/>
              </w:rPr>
              <w:t>(M = 6.51; SD = 1.38)</w:t>
            </w:r>
          </w:p>
        </w:tc>
        <w:tc>
          <w:tcPr>
            <w:tcW w:w="3330" w:type="dxa"/>
          </w:tcPr>
          <w:p w14:paraId="5D069F58" w14:textId="77777777" w:rsidR="009B6560" w:rsidRPr="00831C47" w:rsidRDefault="009B6560" w:rsidP="001A08FA">
            <w:pPr>
              <w:autoSpaceDE w:val="0"/>
              <w:autoSpaceDN w:val="0"/>
              <w:adjustRightInd w:val="0"/>
              <w:rPr>
                <w:sz w:val="16"/>
                <w:szCs w:val="16"/>
              </w:rPr>
            </w:pPr>
            <w:r w:rsidRPr="00831C47">
              <w:rPr>
                <w:sz w:val="16"/>
                <w:szCs w:val="16"/>
              </w:rPr>
              <w:t>Critical thinking and problem solving, communication, and collaboration</w:t>
            </w:r>
          </w:p>
        </w:tc>
        <w:tc>
          <w:tcPr>
            <w:tcW w:w="3595" w:type="dxa"/>
          </w:tcPr>
          <w:p w14:paraId="621BECBA" w14:textId="77777777" w:rsidR="009B6560" w:rsidRPr="00831C47" w:rsidRDefault="009B6560" w:rsidP="001A08FA">
            <w:pPr>
              <w:autoSpaceDE w:val="0"/>
              <w:autoSpaceDN w:val="0"/>
              <w:adjustRightInd w:val="0"/>
              <w:rPr>
                <w:sz w:val="16"/>
                <w:szCs w:val="16"/>
              </w:rPr>
            </w:pPr>
            <w:r w:rsidRPr="00831C47">
              <w:rPr>
                <w:sz w:val="16"/>
                <w:szCs w:val="16"/>
              </w:rPr>
              <w:t xml:space="preserve">How much did </w:t>
            </w:r>
            <w:r>
              <w:rPr>
                <w:sz w:val="16"/>
                <w:szCs w:val="16"/>
              </w:rPr>
              <w:t>this field trip</w:t>
            </w:r>
            <w:r w:rsidRPr="00831C47">
              <w:rPr>
                <w:sz w:val="16"/>
                <w:szCs w:val="16"/>
              </w:rPr>
              <w:t xml:space="preserve"> help you </w:t>
            </w:r>
            <w:r w:rsidRPr="00831C47">
              <w:rPr>
                <w:sz w:val="16"/>
                <w:szCs w:val="16"/>
                <w:u w:val="single"/>
              </w:rPr>
              <w:t xml:space="preserve">improve </w:t>
            </w:r>
            <w:r w:rsidRPr="00831C47">
              <w:rPr>
                <w:sz w:val="16"/>
                <w:szCs w:val="16"/>
              </w:rPr>
              <w:t>any of these skills? (anchors: not at all, a fair amount, a huge amount)</w:t>
            </w:r>
          </w:p>
          <w:p w14:paraId="64557BC7" w14:textId="77777777" w:rsidR="009B6560" w:rsidRPr="00831C47" w:rsidRDefault="009B6560" w:rsidP="009B6560">
            <w:pPr>
              <w:pStyle w:val="ListParagraph"/>
              <w:numPr>
                <w:ilvl w:val="0"/>
                <w:numId w:val="12"/>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Solving problems.</w:t>
            </w:r>
          </w:p>
          <w:p w14:paraId="3E7A63D3" w14:textId="77777777" w:rsidR="009B6560" w:rsidRPr="00831C47" w:rsidRDefault="009B6560" w:rsidP="009B6560">
            <w:pPr>
              <w:pStyle w:val="ListParagraph"/>
              <w:numPr>
                <w:ilvl w:val="0"/>
                <w:numId w:val="12"/>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Using science to answer a question.</w:t>
            </w:r>
          </w:p>
          <w:p w14:paraId="78546A05" w14:textId="77777777" w:rsidR="009B6560" w:rsidRPr="00831C47" w:rsidRDefault="009B6560" w:rsidP="009B6560">
            <w:pPr>
              <w:pStyle w:val="ListParagraph"/>
              <w:numPr>
                <w:ilvl w:val="0"/>
                <w:numId w:val="12"/>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Listening to other people’s points of view.</w:t>
            </w:r>
          </w:p>
          <w:p w14:paraId="59742FE3" w14:textId="77777777" w:rsidR="009B6560" w:rsidRPr="00831C47" w:rsidRDefault="009B6560" w:rsidP="009B6560">
            <w:pPr>
              <w:pStyle w:val="ListParagraph"/>
              <w:numPr>
                <w:ilvl w:val="0"/>
                <w:numId w:val="12"/>
              </w:numPr>
              <w:rPr>
                <w:rFonts w:ascii="Times New Roman" w:hAnsi="Times New Roman" w:cs="Times New Roman"/>
                <w:sz w:val="16"/>
                <w:szCs w:val="16"/>
              </w:rPr>
            </w:pPr>
            <w:r w:rsidRPr="00831C47">
              <w:rPr>
                <w:rFonts w:ascii="Times New Roman" w:hAnsi="Times New Roman" w:cs="Times New Roman"/>
                <w:sz w:val="16"/>
                <w:szCs w:val="16"/>
              </w:rPr>
              <w:t>Knowing how to do research.</w:t>
            </w:r>
          </w:p>
        </w:tc>
      </w:tr>
      <w:tr w:rsidR="009B6560" w:rsidRPr="00831C47" w14:paraId="15E90328" w14:textId="77777777" w:rsidTr="001A08FA">
        <w:tc>
          <w:tcPr>
            <w:tcW w:w="2425" w:type="dxa"/>
          </w:tcPr>
          <w:p w14:paraId="4652FBA5" w14:textId="77777777" w:rsidR="009B6560" w:rsidRDefault="009B6560" w:rsidP="001A08FA">
            <w:pPr>
              <w:rPr>
                <w:b/>
                <w:bCs/>
                <w:sz w:val="18"/>
                <w:szCs w:val="18"/>
              </w:rPr>
            </w:pPr>
            <w:r w:rsidRPr="00831C47">
              <w:rPr>
                <w:b/>
                <w:bCs/>
                <w:sz w:val="18"/>
                <w:szCs w:val="18"/>
              </w:rPr>
              <w:t xml:space="preserve">Meaning/Self-Identity </w:t>
            </w:r>
          </w:p>
          <w:p w14:paraId="0307DA22" w14:textId="19C3D8C1" w:rsidR="002C1775" w:rsidRPr="00831C47" w:rsidRDefault="002C1775" w:rsidP="001A08FA">
            <w:pPr>
              <w:rPr>
                <w:b/>
                <w:bCs/>
                <w:sz w:val="18"/>
                <w:szCs w:val="18"/>
              </w:rPr>
            </w:pPr>
            <w:r>
              <w:rPr>
                <w:b/>
                <w:bCs/>
                <w:sz w:val="18"/>
                <w:szCs w:val="18"/>
              </w:rPr>
              <w:t>(M = 6.92; SD = 1.31)</w:t>
            </w:r>
          </w:p>
        </w:tc>
        <w:tc>
          <w:tcPr>
            <w:tcW w:w="3330" w:type="dxa"/>
          </w:tcPr>
          <w:p w14:paraId="5F480684" w14:textId="77777777" w:rsidR="009B6560" w:rsidRPr="00831C47" w:rsidRDefault="009B6560" w:rsidP="001A08FA">
            <w:pPr>
              <w:autoSpaceDE w:val="0"/>
              <w:autoSpaceDN w:val="0"/>
              <w:adjustRightInd w:val="0"/>
              <w:rPr>
                <w:sz w:val="16"/>
                <w:szCs w:val="16"/>
              </w:rPr>
            </w:pPr>
            <w:r w:rsidRPr="00831C47">
              <w:rPr>
                <w:sz w:val="16"/>
                <w:szCs w:val="16"/>
              </w:rPr>
              <w:t>A heightened sense of self-awareness, critical reflection, and purpose.</w:t>
            </w:r>
          </w:p>
        </w:tc>
        <w:tc>
          <w:tcPr>
            <w:tcW w:w="3595" w:type="dxa"/>
          </w:tcPr>
          <w:p w14:paraId="692EF0B0" w14:textId="77777777" w:rsidR="009B6560" w:rsidRPr="00831C47" w:rsidRDefault="009B6560" w:rsidP="001A08FA">
            <w:pPr>
              <w:autoSpaceDE w:val="0"/>
              <w:autoSpaceDN w:val="0"/>
              <w:adjustRightInd w:val="0"/>
              <w:rPr>
                <w:sz w:val="16"/>
                <w:szCs w:val="16"/>
              </w:rPr>
            </w:pPr>
            <w:r w:rsidRPr="00831C47">
              <w:rPr>
                <w:sz w:val="16"/>
                <w:szCs w:val="16"/>
              </w:rPr>
              <w:t xml:space="preserve">Did </w:t>
            </w:r>
            <w:r>
              <w:rPr>
                <w:sz w:val="16"/>
                <w:szCs w:val="16"/>
              </w:rPr>
              <w:t xml:space="preserve">this field trip </w:t>
            </w:r>
            <w:r w:rsidRPr="00831C47">
              <w:rPr>
                <w:sz w:val="16"/>
                <w:szCs w:val="16"/>
              </w:rPr>
              <w:t>do any of the following things for you? (anchors: not at all, a fair amount, a huge amount)</w:t>
            </w:r>
          </w:p>
          <w:p w14:paraId="48D46EA6" w14:textId="77777777" w:rsidR="009B6560" w:rsidRPr="00831C47" w:rsidRDefault="009B6560" w:rsidP="009B6560">
            <w:pPr>
              <w:pStyle w:val="ListParagraph"/>
              <w:numPr>
                <w:ilvl w:val="0"/>
                <w:numId w:val="13"/>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Taught me something t</w:t>
            </w:r>
            <w:r w:rsidRPr="00831C47">
              <w:rPr>
                <w:rFonts w:ascii="Times New Roman" w:hAnsi="Times New Roman" w:cs="Times New Roman"/>
                <w:sz w:val="16"/>
                <w:szCs w:val="16"/>
                <w:u w:val="single"/>
              </w:rPr>
              <w:t>hat will be useful to me</w:t>
            </w:r>
            <w:r w:rsidRPr="00831C47">
              <w:rPr>
                <w:rFonts w:ascii="Times New Roman" w:hAnsi="Times New Roman" w:cs="Times New Roman"/>
                <w:sz w:val="16"/>
                <w:szCs w:val="16"/>
              </w:rPr>
              <w:t xml:space="preserve"> in my future.</w:t>
            </w:r>
          </w:p>
          <w:p w14:paraId="18A5A090" w14:textId="77777777" w:rsidR="009B6560" w:rsidRPr="00831C47" w:rsidRDefault="009B6560" w:rsidP="009B6560">
            <w:pPr>
              <w:pStyle w:val="ListParagraph"/>
              <w:numPr>
                <w:ilvl w:val="0"/>
                <w:numId w:val="13"/>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Really made me think.</w:t>
            </w:r>
          </w:p>
          <w:p w14:paraId="250D6804" w14:textId="77777777" w:rsidR="009B6560" w:rsidRPr="00831C47" w:rsidRDefault="009B6560" w:rsidP="009B6560">
            <w:pPr>
              <w:pStyle w:val="ListParagraph"/>
              <w:numPr>
                <w:ilvl w:val="0"/>
                <w:numId w:val="13"/>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Made me realize something I never imagined before.</w:t>
            </w:r>
          </w:p>
          <w:p w14:paraId="0E5C21AC" w14:textId="77777777" w:rsidR="009B6560" w:rsidRPr="00831C47" w:rsidRDefault="009B6560" w:rsidP="009B6560">
            <w:pPr>
              <w:pStyle w:val="ListParagraph"/>
              <w:numPr>
                <w:ilvl w:val="0"/>
                <w:numId w:val="13"/>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Made me think differently about the choices I make in my life.</w:t>
            </w:r>
          </w:p>
          <w:p w14:paraId="7F846A25" w14:textId="77777777" w:rsidR="009B6560" w:rsidRPr="00831C47" w:rsidRDefault="009B6560" w:rsidP="009B6560">
            <w:pPr>
              <w:pStyle w:val="ListParagraph"/>
              <w:numPr>
                <w:ilvl w:val="0"/>
                <w:numId w:val="13"/>
              </w:numPr>
              <w:rPr>
                <w:rFonts w:ascii="Times New Roman" w:hAnsi="Times New Roman" w:cs="Times New Roman"/>
                <w:sz w:val="16"/>
                <w:szCs w:val="16"/>
              </w:rPr>
            </w:pPr>
            <w:r w:rsidRPr="00831C47">
              <w:rPr>
                <w:rFonts w:ascii="Times New Roman" w:hAnsi="Times New Roman" w:cs="Times New Roman"/>
                <w:sz w:val="16"/>
                <w:szCs w:val="16"/>
              </w:rPr>
              <w:t>Made me curious about something.</w:t>
            </w:r>
          </w:p>
        </w:tc>
      </w:tr>
      <w:tr w:rsidR="009B6560" w:rsidRPr="00886016" w14:paraId="3F4665DD" w14:textId="77777777" w:rsidTr="001A08FA">
        <w:tc>
          <w:tcPr>
            <w:tcW w:w="2425" w:type="dxa"/>
          </w:tcPr>
          <w:p w14:paraId="1FF36F36" w14:textId="77777777" w:rsidR="009B6560" w:rsidRDefault="009B6560" w:rsidP="001A08FA">
            <w:pPr>
              <w:rPr>
                <w:b/>
                <w:bCs/>
                <w:sz w:val="18"/>
                <w:szCs w:val="18"/>
              </w:rPr>
            </w:pPr>
            <w:r w:rsidRPr="00886016">
              <w:rPr>
                <w:b/>
                <w:bCs/>
                <w:sz w:val="18"/>
                <w:szCs w:val="18"/>
              </w:rPr>
              <w:t>Self-Efficacy</w:t>
            </w:r>
          </w:p>
          <w:p w14:paraId="272AD6CC" w14:textId="435DBA70" w:rsidR="002C1775" w:rsidRPr="00886016" w:rsidRDefault="002C1775" w:rsidP="001A08FA">
            <w:pPr>
              <w:rPr>
                <w:b/>
                <w:bCs/>
                <w:sz w:val="18"/>
                <w:szCs w:val="18"/>
              </w:rPr>
            </w:pPr>
            <w:r>
              <w:rPr>
                <w:b/>
                <w:bCs/>
                <w:sz w:val="18"/>
                <w:szCs w:val="18"/>
              </w:rPr>
              <w:t>(M = 1.00; SD = 0.57)</w:t>
            </w:r>
          </w:p>
        </w:tc>
        <w:tc>
          <w:tcPr>
            <w:tcW w:w="3330" w:type="dxa"/>
          </w:tcPr>
          <w:p w14:paraId="317F0B9B" w14:textId="77777777" w:rsidR="009B6560" w:rsidRPr="00886016" w:rsidRDefault="009B6560" w:rsidP="001A08FA">
            <w:pPr>
              <w:autoSpaceDE w:val="0"/>
              <w:autoSpaceDN w:val="0"/>
              <w:adjustRightInd w:val="0"/>
              <w:rPr>
                <w:sz w:val="16"/>
                <w:szCs w:val="16"/>
              </w:rPr>
            </w:pPr>
            <w:r w:rsidRPr="00886016">
              <w:rPr>
                <w:sz w:val="16"/>
                <w:szCs w:val="16"/>
              </w:rPr>
              <w:t>Belief in one’s own ability to achieve one’s goals and influence their environment.</w:t>
            </w:r>
          </w:p>
        </w:tc>
        <w:tc>
          <w:tcPr>
            <w:tcW w:w="3595" w:type="dxa"/>
          </w:tcPr>
          <w:p w14:paraId="71ECF553" w14:textId="77777777" w:rsidR="009B6560" w:rsidRPr="00886016" w:rsidRDefault="009B6560" w:rsidP="001A08FA">
            <w:pPr>
              <w:autoSpaceDE w:val="0"/>
              <w:autoSpaceDN w:val="0"/>
              <w:adjustRightInd w:val="0"/>
              <w:rPr>
                <w:sz w:val="16"/>
                <w:szCs w:val="16"/>
              </w:rPr>
            </w:pPr>
            <w:r w:rsidRPr="00886016">
              <w:rPr>
                <w:sz w:val="16"/>
                <w:szCs w:val="16"/>
              </w:rPr>
              <w:t>In a single post-experience survey, students were asked how much they agreed with each statement before and after the field trip. The scale is the mean difference between before and after evaluations. (anchors: not all, somewhat agree(d); strongly agree(d))</w:t>
            </w:r>
          </w:p>
          <w:p w14:paraId="2A8C5DF3" w14:textId="77777777" w:rsidR="009B6560" w:rsidRPr="00886016" w:rsidRDefault="009B6560" w:rsidP="009B6560">
            <w:pPr>
              <w:pStyle w:val="ListParagraph"/>
              <w:numPr>
                <w:ilvl w:val="0"/>
                <w:numId w:val="14"/>
              </w:numPr>
              <w:autoSpaceDE w:val="0"/>
              <w:autoSpaceDN w:val="0"/>
              <w:adjustRightInd w:val="0"/>
              <w:rPr>
                <w:rFonts w:ascii="Times New Roman" w:hAnsi="Times New Roman" w:cs="Times New Roman"/>
                <w:sz w:val="16"/>
                <w:szCs w:val="16"/>
              </w:rPr>
            </w:pPr>
            <w:r w:rsidRPr="00886016">
              <w:rPr>
                <w:rFonts w:ascii="Times New Roman" w:hAnsi="Times New Roman" w:cs="Times New Roman"/>
                <w:sz w:val="16"/>
                <w:szCs w:val="16"/>
              </w:rPr>
              <w:t>I believe in myself.</w:t>
            </w:r>
          </w:p>
          <w:p w14:paraId="65FD0339" w14:textId="77777777" w:rsidR="009B6560" w:rsidRPr="00886016" w:rsidRDefault="009B6560" w:rsidP="009B6560">
            <w:pPr>
              <w:pStyle w:val="ListParagraph"/>
              <w:numPr>
                <w:ilvl w:val="0"/>
                <w:numId w:val="14"/>
              </w:numPr>
              <w:autoSpaceDE w:val="0"/>
              <w:autoSpaceDN w:val="0"/>
              <w:adjustRightInd w:val="0"/>
              <w:rPr>
                <w:rFonts w:ascii="Times New Roman" w:hAnsi="Times New Roman" w:cs="Times New Roman"/>
                <w:sz w:val="16"/>
                <w:szCs w:val="16"/>
              </w:rPr>
            </w:pPr>
            <w:r w:rsidRPr="00886016">
              <w:rPr>
                <w:rFonts w:ascii="Times New Roman" w:hAnsi="Times New Roman" w:cs="Times New Roman"/>
                <w:sz w:val="16"/>
                <w:szCs w:val="16"/>
              </w:rPr>
              <w:t>I feel confident I can achieve my goals.</w:t>
            </w:r>
          </w:p>
          <w:p w14:paraId="36719AA4" w14:textId="77777777" w:rsidR="009B6560" w:rsidRPr="00886016" w:rsidRDefault="009B6560" w:rsidP="009B6560">
            <w:pPr>
              <w:pStyle w:val="ListParagraph"/>
              <w:numPr>
                <w:ilvl w:val="0"/>
                <w:numId w:val="14"/>
              </w:numPr>
              <w:rPr>
                <w:rFonts w:ascii="Times New Roman" w:hAnsi="Times New Roman" w:cs="Times New Roman"/>
                <w:sz w:val="16"/>
                <w:szCs w:val="16"/>
              </w:rPr>
            </w:pPr>
            <w:r w:rsidRPr="00886016">
              <w:rPr>
                <w:rFonts w:ascii="Times New Roman" w:hAnsi="Times New Roman" w:cs="Times New Roman"/>
                <w:sz w:val="16"/>
                <w:szCs w:val="16"/>
              </w:rPr>
              <w:t>I can make a difference in my community.</w:t>
            </w:r>
          </w:p>
        </w:tc>
      </w:tr>
      <w:tr w:rsidR="009B6560" w:rsidRPr="00886016" w14:paraId="51EC1DA5" w14:textId="77777777" w:rsidTr="001A08FA">
        <w:tc>
          <w:tcPr>
            <w:tcW w:w="2425" w:type="dxa"/>
          </w:tcPr>
          <w:p w14:paraId="351F7B9B" w14:textId="77777777" w:rsidR="009B6560" w:rsidRDefault="009B6560" w:rsidP="001A08FA">
            <w:pPr>
              <w:rPr>
                <w:b/>
                <w:bCs/>
                <w:sz w:val="18"/>
                <w:szCs w:val="18"/>
              </w:rPr>
            </w:pPr>
            <w:r w:rsidRPr="00886016">
              <w:rPr>
                <w:b/>
                <w:bCs/>
                <w:sz w:val="18"/>
                <w:szCs w:val="18"/>
              </w:rPr>
              <w:t>Environmental Attitudes</w:t>
            </w:r>
          </w:p>
          <w:p w14:paraId="0ABE926D" w14:textId="792DDCBF" w:rsidR="002C1775" w:rsidRPr="00886016" w:rsidRDefault="002C1775" w:rsidP="001A08FA">
            <w:pPr>
              <w:rPr>
                <w:b/>
                <w:bCs/>
                <w:sz w:val="18"/>
                <w:szCs w:val="18"/>
              </w:rPr>
            </w:pPr>
            <w:r>
              <w:rPr>
                <w:b/>
                <w:bCs/>
                <w:sz w:val="18"/>
                <w:szCs w:val="18"/>
              </w:rPr>
              <w:t>(M = 1.01; SD = 0.50)</w:t>
            </w:r>
          </w:p>
        </w:tc>
        <w:tc>
          <w:tcPr>
            <w:tcW w:w="3330" w:type="dxa"/>
          </w:tcPr>
          <w:p w14:paraId="4C04097B" w14:textId="77777777" w:rsidR="009B6560" w:rsidRPr="00886016" w:rsidRDefault="009B6560" w:rsidP="001A08FA">
            <w:pPr>
              <w:autoSpaceDE w:val="0"/>
              <w:autoSpaceDN w:val="0"/>
              <w:adjustRightInd w:val="0"/>
              <w:rPr>
                <w:sz w:val="16"/>
                <w:szCs w:val="16"/>
              </w:rPr>
            </w:pPr>
            <w:r w:rsidRPr="00886016">
              <w:rPr>
                <w:sz w:val="16"/>
                <w:szCs w:val="16"/>
              </w:rPr>
              <w:t>Sensitivity, concern, and positive dispositions towards the environment</w:t>
            </w:r>
          </w:p>
        </w:tc>
        <w:tc>
          <w:tcPr>
            <w:tcW w:w="3595" w:type="dxa"/>
          </w:tcPr>
          <w:p w14:paraId="51ECA221" w14:textId="77777777" w:rsidR="009B6560" w:rsidRPr="00886016" w:rsidRDefault="009B6560" w:rsidP="001A08FA">
            <w:pPr>
              <w:autoSpaceDE w:val="0"/>
              <w:autoSpaceDN w:val="0"/>
              <w:adjustRightInd w:val="0"/>
              <w:rPr>
                <w:sz w:val="16"/>
                <w:szCs w:val="16"/>
              </w:rPr>
            </w:pPr>
            <w:r w:rsidRPr="00886016">
              <w:rPr>
                <w:sz w:val="16"/>
                <w:szCs w:val="16"/>
              </w:rPr>
              <w:t>Same as above for self-efficacy:</w:t>
            </w:r>
          </w:p>
          <w:p w14:paraId="7E149BC9" w14:textId="77777777" w:rsidR="009B6560" w:rsidRPr="00886016" w:rsidRDefault="009B6560" w:rsidP="009B6560">
            <w:pPr>
              <w:pStyle w:val="ListParagraph"/>
              <w:numPr>
                <w:ilvl w:val="0"/>
                <w:numId w:val="15"/>
              </w:numPr>
              <w:autoSpaceDE w:val="0"/>
              <w:autoSpaceDN w:val="0"/>
              <w:adjustRightInd w:val="0"/>
              <w:rPr>
                <w:rFonts w:ascii="Times New Roman" w:hAnsi="Times New Roman" w:cs="Times New Roman"/>
                <w:sz w:val="16"/>
                <w:szCs w:val="16"/>
              </w:rPr>
            </w:pPr>
            <w:r w:rsidRPr="00886016">
              <w:rPr>
                <w:rFonts w:ascii="Times New Roman" w:hAnsi="Times New Roman" w:cs="Times New Roman"/>
                <w:sz w:val="16"/>
                <w:szCs w:val="16"/>
              </w:rPr>
              <w:t>I feel it is important to take good care of the environment.</w:t>
            </w:r>
          </w:p>
          <w:p w14:paraId="77A95904" w14:textId="77777777" w:rsidR="009B6560" w:rsidRPr="00886016" w:rsidRDefault="009B6560" w:rsidP="009B6560">
            <w:pPr>
              <w:pStyle w:val="ListParagraph"/>
              <w:numPr>
                <w:ilvl w:val="0"/>
                <w:numId w:val="15"/>
              </w:numPr>
              <w:autoSpaceDE w:val="0"/>
              <w:autoSpaceDN w:val="0"/>
              <w:adjustRightInd w:val="0"/>
              <w:rPr>
                <w:rFonts w:ascii="Times New Roman" w:hAnsi="Times New Roman" w:cs="Times New Roman"/>
                <w:sz w:val="16"/>
                <w:szCs w:val="16"/>
              </w:rPr>
            </w:pPr>
            <w:r w:rsidRPr="00886016">
              <w:rPr>
                <w:rFonts w:ascii="Times New Roman" w:hAnsi="Times New Roman" w:cs="Times New Roman"/>
                <w:sz w:val="16"/>
                <w:szCs w:val="16"/>
              </w:rPr>
              <w:t>Humans are a part of nature, not separate from it.</w:t>
            </w:r>
          </w:p>
          <w:p w14:paraId="36C8D6FB" w14:textId="77777777" w:rsidR="009B6560" w:rsidRPr="00886016" w:rsidRDefault="009B6560" w:rsidP="009B6560">
            <w:pPr>
              <w:pStyle w:val="ListParagraph"/>
              <w:numPr>
                <w:ilvl w:val="0"/>
                <w:numId w:val="15"/>
              </w:numPr>
              <w:rPr>
                <w:rFonts w:ascii="Times New Roman" w:hAnsi="Times New Roman" w:cs="Times New Roman"/>
                <w:sz w:val="16"/>
                <w:szCs w:val="16"/>
              </w:rPr>
            </w:pPr>
            <w:r w:rsidRPr="00886016">
              <w:rPr>
                <w:rFonts w:ascii="Times New Roman" w:hAnsi="Times New Roman" w:cs="Times New Roman"/>
                <w:sz w:val="16"/>
                <w:szCs w:val="16"/>
              </w:rPr>
              <w:t>I have the power to protect the environment.</w:t>
            </w:r>
          </w:p>
        </w:tc>
      </w:tr>
      <w:tr w:rsidR="009B6560" w:rsidRPr="00831C47" w14:paraId="3B852C38" w14:textId="77777777" w:rsidTr="001A08FA">
        <w:tc>
          <w:tcPr>
            <w:tcW w:w="2425" w:type="dxa"/>
          </w:tcPr>
          <w:p w14:paraId="4CA1E07C" w14:textId="77777777" w:rsidR="009B6560" w:rsidRDefault="009B6560" w:rsidP="001A08FA">
            <w:pPr>
              <w:rPr>
                <w:b/>
                <w:bCs/>
                <w:sz w:val="18"/>
                <w:szCs w:val="18"/>
              </w:rPr>
            </w:pPr>
            <w:r w:rsidRPr="00831C47">
              <w:rPr>
                <w:b/>
                <w:bCs/>
                <w:sz w:val="18"/>
                <w:szCs w:val="18"/>
              </w:rPr>
              <w:t>Environmental Stewardship</w:t>
            </w:r>
          </w:p>
          <w:p w14:paraId="6A3A2133" w14:textId="2E6E00EA" w:rsidR="002C1775" w:rsidRPr="00831C47" w:rsidRDefault="002C1775" w:rsidP="001A08FA">
            <w:pPr>
              <w:rPr>
                <w:b/>
                <w:bCs/>
                <w:sz w:val="18"/>
                <w:szCs w:val="18"/>
              </w:rPr>
            </w:pPr>
            <w:r>
              <w:rPr>
                <w:b/>
                <w:bCs/>
                <w:sz w:val="18"/>
                <w:szCs w:val="18"/>
              </w:rPr>
              <w:t>(M = 7.49; SD = 1.08)</w:t>
            </w:r>
          </w:p>
        </w:tc>
        <w:tc>
          <w:tcPr>
            <w:tcW w:w="3330" w:type="dxa"/>
          </w:tcPr>
          <w:p w14:paraId="53188EB2" w14:textId="77777777" w:rsidR="009B6560" w:rsidRPr="00831C47" w:rsidRDefault="009B6560" w:rsidP="001A08FA">
            <w:pPr>
              <w:autoSpaceDE w:val="0"/>
              <w:autoSpaceDN w:val="0"/>
              <w:adjustRightInd w:val="0"/>
              <w:rPr>
                <w:sz w:val="16"/>
                <w:szCs w:val="16"/>
              </w:rPr>
            </w:pPr>
            <w:r w:rsidRPr="00831C47">
              <w:rPr>
                <w:sz w:val="16"/>
                <w:szCs w:val="16"/>
              </w:rPr>
              <w:t>Motivations to perform stewardship-related</w:t>
            </w:r>
          </w:p>
          <w:p w14:paraId="70273574" w14:textId="77777777" w:rsidR="009B6560" w:rsidRPr="00831C47" w:rsidRDefault="009B6560" w:rsidP="001A08FA">
            <w:pPr>
              <w:autoSpaceDE w:val="0"/>
              <w:autoSpaceDN w:val="0"/>
              <w:adjustRightInd w:val="0"/>
              <w:rPr>
                <w:sz w:val="16"/>
                <w:szCs w:val="16"/>
              </w:rPr>
            </w:pPr>
            <w:r w:rsidRPr="00831C47">
              <w:rPr>
                <w:sz w:val="16"/>
                <w:szCs w:val="16"/>
              </w:rPr>
              <w:t>behaviors.</w:t>
            </w:r>
          </w:p>
        </w:tc>
        <w:tc>
          <w:tcPr>
            <w:tcW w:w="3595" w:type="dxa"/>
          </w:tcPr>
          <w:p w14:paraId="2B3A8779" w14:textId="77777777" w:rsidR="009B6560" w:rsidRPr="00831C47" w:rsidRDefault="009B6560" w:rsidP="001A08FA">
            <w:pPr>
              <w:autoSpaceDE w:val="0"/>
              <w:autoSpaceDN w:val="0"/>
              <w:adjustRightInd w:val="0"/>
              <w:rPr>
                <w:sz w:val="16"/>
                <w:szCs w:val="16"/>
              </w:rPr>
            </w:pPr>
            <w:r w:rsidRPr="00831C47">
              <w:rPr>
                <w:sz w:val="16"/>
                <w:szCs w:val="16"/>
              </w:rPr>
              <w:t xml:space="preserve">Did </w:t>
            </w:r>
            <w:r>
              <w:rPr>
                <w:sz w:val="16"/>
                <w:szCs w:val="16"/>
              </w:rPr>
              <w:t xml:space="preserve">this field trip </w:t>
            </w:r>
            <w:r w:rsidRPr="00831C47">
              <w:rPr>
                <w:sz w:val="16"/>
                <w:szCs w:val="16"/>
              </w:rPr>
              <w:t xml:space="preserve">make you any </w:t>
            </w:r>
            <w:r w:rsidRPr="00831C47">
              <w:rPr>
                <w:sz w:val="16"/>
                <w:szCs w:val="16"/>
                <w:u w:val="single"/>
              </w:rPr>
              <w:t>more likely</w:t>
            </w:r>
            <w:r w:rsidRPr="00831C47">
              <w:rPr>
                <w:sz w:val="16"/>
                <w:szCs w:val="16"/>
              </w:rPr>
              <w:t xml:space="preserve"> to do any of the following things within the next year? (anchors: no more likely, somewhat more likely, way more likely)</w:t>
            </w:r>
          </w:p>
          <w:p w14:paraId="7F6BE8D2" w14:textId="77777777" w:rsidR="009B6560" w:rsidRPr="00831C47" w:rsidRDefault="009B6560" w:rsidP="009B6560">
            <w:pPr>
              <w:pStyle w:val="ListParagraph"/>
              <w:numPr>
                <w:ilvl w:val="0"/>
                <w:numId w:val="16"/>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Help to protect the environment.</w:t>
            </w:r>
          </w:p>
          <w:p w14:paraId="69CFC582" w14:textId="77777777" w:rsidR="009B6560" w:rsidRPr="00831C47" w:rsidRDefault="009B6560" w:rsidP="009B6560">
            <w:pPr>
              <w:pStyle w:val="ListParagraph"/>
              <w:numPr>
                <w:ilvl w:val="0"/>
                <w:numId w:val="16"/>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Spend more time outside.</w:t>
            </w:r>
          </w:p>
          <w:p w14:paraId="62D90AEE" w14:textId="77777777" w:rsidR="009B6560" w:rsidRPr="00831C47" w:rsidRDefault="009B6560" w:rsidP="009B6560">
            <w:pPr>
              <w:pStyle w:val="ListParagraph"/>
              <w:numPr>
                <w:ilvl w:val="0"/>
                <w:numId w:val="16"/>
              </w:numPr>
              <w:tabs>
                <w:tab w:val="left" w:pos="966"/>
              </w:tabs>
              <w:rPr>
                <w:rFonts w:ascii="Times New Roman" w:hAnsi="Times New Roman" w:cs="Times New Roman"/>
                <w:sz w:val="16"/>
                <w:szCs w:val="16"/>
              </w:rPr>
            </w:pPr>
            <w:r w:rsidRPr="00831C47">
              <w:rPr>
                <w:rFonts w:ascii="Times New Roman" w:hAnsi="Times New Roman" w:cs="Times New Roman"/>
                <w:sz w:val="16"/>
                <w:szCs w:val="16"/>
              </w:rPr>
              <w:t>Make a positive difference in my community.</w:t>
            </w:r>
          </w:p>
        </w:tc>
      </w:tr>
      <w:tr w:rsidR="009B6560" w:rsidRPr="00831C47" w14:paraId="56A10C02" w14:textId="77777777" w:rsidTr="001A08FA">
        <w:tc>
          <w:tcPr>
            <w:tcW w:w="2425" w:type="dxa"/>
          </w:tcPr>
          <w:p w14:paraId="3E204D03" w14:textId="77777777" w:rsidR="009B6560" w:rsidRDefault="009B6560" w:rsidP="001A08FA">
            <w:pPr>
              <w:rPr>
                <w:b/>
                <w:bCs/>
                <w:sz w:val="18"/>
                <w:szCs w:val="18"/>
              </w:rPr>
            </w:pPr>
            <w:r w:rsidRPr="00831C47">
              <w:rPr>
                <w:b/>
                <w:bCs/>
                <w:sz w:val="18"/>
                <w:szCs w:val="18"/>
              </w:rPr>
              <w:t>Collaboration</w:t>
            </w:r>
          </w:p>
          <w:p w14:paraId="7EFE3F6D" w14:textId="405F7B23" w:rsidR="002C1775" w:rsidRPr="00831C47" w:rsidRDefault="002C1775" w:rsidP="001A08FA">
            <w:pPr>
              <w:rPr>
                <w:b/>
                <w:bCs/>
                <w:sz w:val="18"/>
                <w:szCs w:val="18"/>
              </w:rPr>
            </w:pPr>
            <w:r>
              <w:rPr>
                <w:b/>
                <w:bCs/>
                <w:sz w:val="18"/>
                <w:szCs w:val="18"/>
              </w:rPr>
              <w:t>(M = 7.12; SD = 1.25)</w:t>
            </w:r>
          </w:p>
        </w:tc>
        <w:tc>
          <w:tcPr>
            <w:tcW w:w="3330" w:type="dxa"/>
          </w:tcPr>
          <w:p w14:paraId="7AD425B1" w14:textId="77777777" w:rsidR="009B6560" w:rsidRPr="00831C47" w:rsidRDefault="009B6560" w:rsidP="001A08FA">
            <w:pPr>
              <w:autoSpaceDE w:val="0"/>
              <w:autoSpaceDN w:val="0"/>
              <w:adjustRightInd w:val="0"/>
              <w:rPr>
                <w:sz w:val="16"/>
                <w:szCs w:val="16"/>
              </w:rPr>
            </w:pPr>
            <w:r w:rsidRPr="00831C47">
              <w:rPr>
                <w:sz w:val="16"/>
                <w:szCs w:val="16"/>
              </w:rPr>
              <w:t>Motivation to collaborate more with others</w:t>
            </w:r>
          </w:p>
        </w:tc>
        <w:tc>
          <w:tcPr>
            <w:tcW w:w="3595" w:type="dxa"/>
          </w:tcPr>
          <w:p w14:paraId="37B6E320" w14:textId="77777777" w:rsidR="009B6560" w:rsidRPr="00831C47" w:rsidRDefault="009B6560" w:rsidP="001A08FA">
            <w:pPr>
              <w:autoSpaceDE w:val="0"/>
              <w:autoSpaceDN w:val="0"/>
              <w:adjustRightInd w:val="0"/>
              <w:rPr>
                <w:sz w:val="16"/>
                <w:szCs w:val="16"/>
              </w:rPr>
            </w:pPr>
            <w:r w:rsidRPr="00831C47">
              <w:rPr>
                <w:sz w:val="16"/>
                <w:szCs w:val="16"/>
              </w:rPr>
              <w:t xml:space="preserve">Did </w:t>
            </w:r>
            <w:r>
              <w:rPr>
                <w:sz w:val="16"/>
                <w:szCs w:val="16"/>
              </w:rPr>
              <w:t xml:space="preserve">this field trip </w:t>
            </w:r>
            <w:r w:rsidRPr="00831C47">
              <w:rPr>
                <w:sz w:val="16"/>
                <w:szCs w:val="16"/>
              </w:rPr>
              <w:t xml:space="preserve">make you any </w:t>
            </w:r>
            <w:r w:rsidRPr="00831C47">
              <w:rPr>
                <w:sz w:val="16"/>
                <w:szCs w:val="16"/>
                <w:u w:val="single"/>
              </w:rPr>
              <w:t>more likely</w:t>
            </w:r>
            <w:r w:rsidRPr="00831C47">
              <w:rPr>
                <w:sz w:val="16"/>
                <w:szCs w:val="16"/>
              </w:rPr>
              <w:t xml:space="preserve"> to do any of the following things within the next year? (anchors: no more likely, somewhat more likely, way more likely)</w:t>
            </w:r>
          </w:p>
          <w:p w14:paraId="7E3404C9" w14:textId="77777777" w:rsidR="009B6560" w:rsidRPr="00831C47" w:rsidRDefault="009B6560" w:rsidP="009B6560">
            <w:pPr>
              <w:pStyle w:val="ListParagraph"/>
              <w:numPr>
                <w:ilvl w:val="0"/>
                <w:numId w:val="17"/>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Listen more to other people’s points of view.</w:t>
            </w:r>
          </w:p>
          <w:p w14:paraId="2CA87BC5" w14:textId="77777777" w:rsidR="009B6560" w:rsidRPr="00831C47" w:rsidRDefault="009B6560" w:rsidP="009B6560">
            <w:pPr>
              <w:pStyle w:val="ListParagraph"/>
              <w:numPr>
                <w:ilvl w:val="0"/>
                <w:numId w:val="17"/>
              </w:numPr>
              <w:rPr>
                <w:rFonts w:ascii="Times New Roman" w:hAnsi="Times New Roman" w:cs="Times New Roman"/>
                <w:sz w:val="16"/>
                <w:szCs w:val="16"/>
              </w:rPr>
            </w:pPr>
            <w:r w:rsidRPr="00831C47">
              <w:rPr>
                <w:rFonts w:ascii="Times New Roman" w:hAnsi="Times New Roman" w:cs="Times New Roman"/>
                <w:sz w:val="16"/>
                <w:szCs w:val="16"/>
              </w:rPr>
              <w:t>Cooperate more with my classmates.</w:t>
            </w:r>
          </w:p>
        </w:tc>
      </w:tr>
      <w:tr w:rsidR="009B6560" w:rsidRPr="00831C47" w14:paraId="79FE3BA9" w14:textId="77777777" w:rsidTr="001A08FA">
        <w:trPr>
          <w:trHeight w:val="1160"/>
        </w:trPr>
        <w:tc>
          <w:tcPr>
            <w:tcW w:w="2425" w:type="dxa"/>
          </w:tcPr>
          <w:p w14:paraId="6FE2CF0C" w14:textId="77777777" w:rsidR="009B6560" w:rsidRDefault="009B6560" w:rsidP="001A08FA">
            <w:pPr>
              <w:rPr>
                <w:b/>
                <w:bCs/>
                <w:sz w:val="18"/>
                <w:szCs w:val="18"/>
              </w:rPr>
            </w:pPr>
            <w:r w:rsidRPr="00831C47">
              <w:rPr>
                <w:b/>
                <w:bCs/>
                <w:sz w:val="18"/>
                <w:szCs w:val="18"/>
              </w:rPr>
              <w:t>School</w:t>
            </w:r>
            <w:r>
              <w:rPr>
                <w:b/>
                <w:bCs/>
                <w:sz w:val="18"/>
                <w:szCs w:val="18"/>
              </w:rPr>
              <w:t xml:space="preserve"> motivations</w:t>
            </w:r>
          </w:p>
          <w:p w14:paraId="7B568197" w14:textId="0ED31102" w:rsidR="002C1775" w:rsidRPr="00831C47" w:rsidRDefault="002C1775" w:rsidP="001A08FA">
            <w:pPr>
              <w:rPr>
                <w:b/>
                <w:bCs/>
                <w:sz w:val="18"/>
                <w:szCs w:val="18"/>
              </w:rPr>
            </w:pPr>
            <w:r>
              <w:rPr>
                <w:b/>
                <w:bCs/>
                <w:sz w:val="18"/>
                <w:szCs w:val="18"/>
              </w:rPr>
              <w:t>(M = 7.45; SD = 1.42)</w:t>
            </w:r>
          </w:p>
        </w:tc>
        <w:tc>
          <w:tcPr>
            <w:tcW w:w="3330" w:type="dxa"/>
          </w:tcPr>
          <w:p w14:paraId="40B66807" w14:textId="77777777" w:rsidR="009B6560" w:rsidRPr="00831C47" w:rsidRDefault="009B6560" w:rsidP="001A08FA">
            <w:pPr>
              <w:autoSpaceDE w:val="0"/>
              <w:autoSpaceDN w:val="0"/>
              <w:adjustRightInd w:val="0"/>
              <w:rPr>
                <w:sz w:val="16"/>
                <w:szCs w:val="16"/>
              </w:rPr>
            </w:pPr>
            <w:r w:rsidRPr="00831C47">
              <w:rPr>
                <w:sz w:val="16"/>
                <w:szCs w:val="16"/>
              </w:rPr>
              <w:t>Motivation to work harder in school.</w:t>
            </w:r>
          </w:p>
        </w:tc>
        <w:tc>
          <w:tcPr>
            <w:tcW w:w="3595" w:type="dxa"/>
          </w:tcPr>
          <w:p w14:paraId="30C1BD38" w14:textId="77777777" w:rsidR="009B6560" w:rsidRPr="00831C47" w:rsidRDefault="009B6560" w:rsidP="001A08FA">
            <w:pPr>
              <w:autoSpaceDE w:val="0"/>
              <w:autoSpaceDN w:val="0"/>
              <w:adjustRightInd w:val="0"/>
              <w:rPr>
                <w:sz w:val="16"/>
                <w:szCs w:val="16"/>
              </w:rPr>
            </w:pPr>
            <w:r w:rsidRPr="00831C47">
              <w:rPr>
                <w:sz w:val="16"/>
                <w:szCs w:val="16"/>
              </w:rPr>
              <w:t xml:space="preserve">Did </w:t>
            </w:r>
            <w:r>
              <w:rPr>
                <w:sz w:val="16"/>
                <w:szCs w:val="16"/>
              </w:rPr>
              <w:t>this field trip</w:t>
            </w:r>
            <w:r w:rsidRPr="00831C47">
              <w:rPr>
                <w:sz w:val="16"/>
                <w:szCs w:val="16"/>
              </w:rPr>
              <w:t xml:space="preserve"> make you any </w:t>
            </w:r>
            <w:r w:rsidRPr="00831C47">
              <w:rPr>
                <w:sz w:val="16"/>
                <w:szCs w:val="16"/>
                <w:u w:val="single"/>
              </w:rPr>
              <w:t>more likely</w:t>
            </w:r>
            <w:r w:rsidRPr="00831C47">
              <w:rPr>
                <w:sz w:val="16"/>
                <w:szCs w:val="16"/>
              </w:rPr>
              <w:t xml:space="preserve"> to do any of the following things within the next year? (anchors: no more likely, somewhat more likely, way more likely)</w:t>
            </w:r>
          </w:p>
          <w:p w14:paraId="1384DDAB" w14:textId="77777777" w:rsidR="009B6560" w:rsidRPr="00831C47" w:rsidRDefault="009B6560" w:rsidP="009B6560">
            <w:pPr>
              <w:pStyle w:val="ListParagraph"/>
              <w:numPr>
                <w:ilvl w:val="0"/>
                <w:numId w:val="18"/>
              </w:numPr>
              <w:autoSpaceDE w:val="0"/>
              <w:autoSpaceDN w:val="0"/>
              <w:adjustRightInd w:val="0"/>
              <w:rPr>
                <w:rFonts w:ascii="Times New Roman" w:hAnsi="Times New Roman" w:cs="Times New Roman"/>
                <w:sz w:val="16"/>
                <w:szCs w:val="16"/>
              </w:rPr>
            </w:pPr>
            <w:r w:rsidRPr="00831C47">
              <w:rPr>
                <w:rFonts w:ascii="Times New Roman" w:hAnsi="Times New Roman" w:cs="Times New Roman"/>
                <w:sz w:val="16"/>
                <w:szCs w:val="16"/>
              </w:rPr>
              <w:t>Work harder in school.</w:t>
            </w:r>
          </w:p>
          <w:p w14:paraId="6B38B82B" w14:textId="77777777" w:rsidR="009B6560" w:rsidRPr="00831C47" w:rsidRDefault="009B6560" w:rsidP="009B6560">
            <w:pPr>
              <w:pStyle w:val="ListParagraph"/>
              <w:numPr>
                <w:ilvl w:val="0"/>
                <w:numId w:val="18"/>
              </w:numPr>
              <w:rPr>
                <w:rFonts w:ascii="Times New Roman" w:hAnsi="Times New Roman" w:cs="Times New Roman"/>
                <w:sz w:val="16"/>
                <w:szCs w:val="16"/>
              </w:rPr>
            </w:pPr>
            <w:r w:rsidRPr="00831C47">
              <w:rPr>
                <w:rFonts w:ascii="Times New Roman" w:hAnsi="Times New Roman" w:cs="Times New Roman"/>
                <w:sz w:val="16"/>
                <w:szCs w:val="16"/>
              </w:rPr>
              <w:t>Pay more attention in class.</w:t>
            </w:r>
          </w:p>
        </w:tc>
      </w:tr>
      <w:tr w:rsidR="002C1775" w:rsidRPr="00831C47" w14:paraId="31B3E961" w14:textId="77777777" w:rsidTr="002C1775">
        <w:trPr>
          <w:trHeight w:val="503"/>
        </w:trPr>
        <w:tc>
          <w:tcPr>
            <w:tcW w:w="2425" w:type="dxa"/>
          </w:tcPr>
          <w:p w14:paraId="353C2A35" w14:textId="6ADEA68C" w:rsidR="002C1775" w:rsidRDefault="002C1775" w:rsidP="001A08FA">
            <w:pPr>
              <w:rPr>
                <w:b/>
                <w:bCs/>
                <w:sz w:val="18"/>
                <w:szCs w:val="18"/>
              </w:rPr>
            </w:pPr>
            <w:r>
              <w:rPr>
                <w:b/>
                <w:bCs/>
                <w:sz w:val="18"/>
                <w:szCs w:val="18"/>
              </w:rPr>
              <w:t xml:space="preserve">EE21 </w:t>
            </w:r>
            <w:r w:rsidR="00F72090">
              <w:rPr>
                <w:b/>
                <w:bCs/>
                <w:sz w:val="18"/>
                <w:szCs w:val="18"/>
              </w:rPr>
              <w:t>Scale</w:t>
            </w:r>
          </w:p>
          <w:p w14:paraId="166DF246" w14:textId="05616A93" w:rsidR="002C1775" w:rsidRPr="00831C47" w:rsidRDefault="002C1775" w:rsidP="001A08FA">
            <w:pPr>
              <w:rPr>
                <w:b/>
                <w:bCs/>
                <w:sz w:val="18"/>
                <w:szCs w:val="18"/>
              </w:rPr>
            </w:pPr>
            <w:r>
              <w:rPr>
                <w:b/>
                <w:bCs/>
                <w:sz w:val="18"/>
                <w:szCs w:val="18"/>
              </w:rPr>
              <w:t>(M = 5.96; SD = 0.96)</w:t>
            </w:r>
          </w:p>
        </w:tc>
        <w:tc>
          <w:tcPr>
            <w:tcW w:w="6925" w:type="dxa"/>
            <w:gridSpan w:val="2"/>
          </w:tcPr>
          <w:p w14:paraId="3A823EE7" w14:textId="3BEF67D7" w:rsidR="002C1775" w:rsidRPr="00831C47" w:rsidRDefault="002C1775" w:rsidP="001A08FA">
            <w:pPr>
              <w:autoSpaceDE w:val="0"/>
              <w:autoSpaceDN w:val="0"/>
              <w:adjustRightInd w:val="0"/>
              <w:rPr>
                <w:sz w:val="16"/>
                <w:szCs w:val="16"/>
              </w:rPr>
            </w:pPr>
            <w:r>
              <w:rPr>
                <w:sz w:val="16"/>
                <w:szCs w:val="16"/>
              </w:rPr>
              <w:t>Unweighted index: Mean of the means of all outcomes measures above.</w:t>
            </w:r>
          </w:p>
        </w:tc>
      </w:tr>
    </w:tbl>
    <w:p w14:paraId="06A25435" w14:textId="77777777" w:rsidR="00140E6F" w:rsidRPr="00140E6F" w:rsidRDefault="00140E6F" w:rsidP="008461B8">
      <w:pPr>
        <w:jc w:val="both"/>
        <w:rPr>
          <w:iCs/>
        </w:rPr>
      </w:pPr>
      <w:bookmarkStart w:id="18" w:name="_Hlk119928188"/>
    </w:p>
    <w:p w14:paraId="28B2C239" w14:textId="77777777" w:rsidR="007E13EB" w:rsidRPr="007D6BDE" w:rsidRDefault="007E13EB" w:rsidP="007E13EB">
      <w:pPr>
        <w:pStyle w:val="Heading3"/>
        <w:spacing w:before="0"/>
        <w:rPr>
          <w:rFonts w:ascii="Times New Roman" w:hAnsi="Times New Roman" w:cs="Times New Roman"/>
          <w:b/>
          <w:bCs/>
          <w:i/>
          <w:iCs/>
          <w:color w:val="auto"/>
        </w:rPr>
      </w:pPr>
      <w:bookmarkStart w:id="19" w:name="_Toc101646952"/>
      <w:bookmarkStart w:id="20" w:name="_Hlk125629743"/>
      <w:bookmarkEnd w:id="17"/>
      <w:bookmarkEnd w:id="18"/>
      <w:r w:rsidRPr="007D6BDE">
        <w:rPr>
          <w:rFonts w:ascii="Times New Roman" w:hAnsi="Times New Roman" w:cs="Times New Roman"/>
          <w:b/>
          <w:bCs/>
          <w:i/>
          <w:iCs/>
          <w:color w:val="auto"/>
        </w:rPr>
        <w:t>Determining sociopolitical context</w:t>
      </w:r>
      <w:bookmarkEnd w:id="19"/>
    </w:p>
    <w:p w14:paraId="46B8BC0B" w14:textId="29421FA7" w:rsidR="007E13EB" w:rsidRPr="00EA10DA" w:rsidRDefault="008461B8" w:rsidP="008461B8">
      <w:pPr>
        <w:ind w:firstLine="720"/>
        <w:jc w:val="both"/>
      </w:pPr>
      <w:bookmarkStart w:id="21" w:name="_Hlk125629781"/>
      <w:bookmarkEnd w:id="20"/>
      <w:r>
        <w:t>The</w:t>
      </w:r>
      <w:r w:rsidR="007E13EB" w:rsidRPr="007D6BDE">
        <w:t xml:space="preserve"> measure of sociopolitical context incorporates voting from the 2016 Presidential, Senate, and House elections that could be attributed to a school attendance zone (SAZ)</w:t>
      </w:r>
      <w:r w:rsidR="000520A0">
        <w:t xml:space="preserve">. </w:t>
      </w:r>
      <w:r w:rsidR="007E13EB" w:rsidRPr="007D6BDE">
        <w:t xml:space="preserve"> </w:t>
      </w:r>
      <w:bookmarkEnd w:id="21"/>
      <w:r w:rsidR="000520A0">
        <w:t>A</w:t>
      </w:r>
      <w:r w:rsidR="007E13EB" w:rsidRPr="007D6BDE">
        <w:t xml:space="preserve"> measure of socioeconomic context </w:t>
      </w:r>
      <w:r w:rsidR="000520A0">
        <w:t xml:space="preserve">was </w:t>
      </w:r>
      <w:r w:rsidR="007E13EB" w:rsidRPr="007D6BDE">
        <w:t>based on free-and-reduced lunch statistics</w:t>
      </w:r>
      <w:r w:rsidR="000520A0">
        <w:t xml:space="preserve"> for the </w:t>
      </w:r>
      <w:r w:rsidR="007F658C">
        <w:t>attending school</w:t>
      </w:r>
      <w:r w:rsidR="007E13EB" w:rsidRPr="007D6BDE">
        <w:t xml:space="preserve">. </w:t>
      </w:r>
      <w:r>
        <w:t>We first</w:t>
      </w:r>
      <w:r w:rsidR="007E13EB" w:rsidRPr="007D6BDE">
        <w:t xml:space="preserve"> limited the sample to public schools (removing all private, charter, and choice schools from the larger study’s sample), because only public schools have geographic attendance</w:t>
      </w:r>
      <w:r w:rsidR="007E13EB">
        <w:t xml:space="preserve"> boundaries to match with voting precincts. We used a combination of the 2016 Presidential, Senate, and House elections, rather </w:t>
      </w:r>
      <w:r w:rsidR="007E13EB" w:rsidRPr="004B4115">
        <w:t xml:space="preserve">than midterm or state-level elections, </w:t>
      </w:r>
      <w:r w:rsidR="007E13EB">
        <w:t>b</w:t>
      </w:r>
      <w:r w:rsidR="007E13EB" w:rsidRPr="004B4115">
        <w:t>ecause</w:t>
      </w:r>
      <w:r w:rsidR="007E13EB">
        <w:t xml:space="preserve"> Presidential </w:t>
      </w:r>
      <w:r w:rsidR="007E13EB">
        <w:lastRenderedPageBreak/>
        <w:t>election years</w:t>
      </w:r>
      <w:r w:rsidR="007E13EB" w:rsidRPr="004B4115">
        <w:t xml:space="preserve"> draw a higher level of public attention and greater participation from voters, making them more likely to play a role in the political socialization of youth (Wolak, 2009; Sears &amp; Valentino, 1997). Precincts, sometimes called </w:t>
      </w:r>
      <w:r w:rsidR="00D343B9">
        <w:t>“</w:t>
      </w:r>
      <w:r w:rsidR="007E13EB" w:rsidRPr="004B4115">
        <w:t>voting districts,</w:t>
      </w:r>
      <w:r w:rsidR="00D343B9">
        <w:t>”</w:t>
      </w:r>
      <w:r w:rsidR="007E13EB" w:rsidRPr="004B4115">
        <w:t xml:space="preserve"> are created by state or local governments for the purpose of conducting elections and provide the most precise micro-scale measure of partisan voting behavior</w:t>
      </w:r>
      <w:r w:rsidR="007E13EB">
        <w:rPr>
          <w:rStyle w:val="FootnoteReference"/>
        </w:rPr>
        <w:footnoteReference w:id="2"/>
      </w:r>
      <w:r w:rsidR="007E13EB" w:rsidRPr="004B4115">
        <w:t xml:space="preserve"> (Bureau of the Census, 1994; Kinsella et al. 2015). </w:t>
      </w:r>
    </w:p>
    <w:p w14:paraId="3812DDF8" w14:textId="362FCDD0" w:rsidR="007E13EB" w:rsidRPr="004B4115" w:rsidRDefault="007E13EB" w:rsidP="007E13EB">
      <w:pPr>
        <w:jc w:val="both"/>
      </w:pPr>
      <w:r>
        <w:rPr>
          <w:iCs/>
        </w:rPr>
        <w:tab/>
        <w:t xml:space="preserve">Because school attendance zones didn’t always align with voting precincts, we used </w:t>
      </w:r>
      <w:proofErr w:type="spellStart"/>
      <w:r>
        <w:rPr>
          <w:iCs/>
        </w:rPr>
        <w:t>dasymetric</w:t>
      </w:r>
      <w:proofErr w:type="spellEnd"/>
      <w:r>
        <w:rPr>
          <w:iCs/>
        </w:rPr>
        <w:t xml:space="preserve"> mapping to reapportion </w:t>
      </w:r>
      <w:r w:rsidRPr="004B4115">
        <w:t>2016 precinct-level election returns within SAZs by using landcover data as a proxy for population</w:t>
      </w:r>
      <w:r>
        <w:t xml:space="preserve">, following procedures described by </w:t>
      </w:r>
      <w:r w:rsidRPr="004B4115">
        <w:t xml:space="preserve">Amos </w:t>
      </w:r>
      <w:r>
        <w:t>and colleagues (</w:t>
      </w:r>
      <w:r w:rsidRPr="004B4115">
        <w:t>2017).</w:t>
      </w:r>
      <w:r>
        <w:t xml:space="preserve"> In short, this enabled the weighting of voting results by areas of higher and lower population to produce a more accurate depiction of actual voting patterns within a precinct than simply using an unweighted proportion.</w:t>
      </w:r>
      <w:r>
        <w:rPr>
          <w:iCs/>
        </w:rPr>
        <w:t xml:space="preserve"> </w:t>
      </w:r>
      <w:r w:rsidRPr="004B4115">
        <w:t xml:space="preserve">Precinct-level election returns provided the raw Republican vote and combined two-party vote in each race. </w:t>
      </w:r>
      <w:r w:rsidRPr="004B4115">
        <w:rPr>
          <w:rFonts w:eastAsiaTheme="minorEastAsia"/>
        </w:rPr>
        <w:t>Using the two-party vote eliminate</w:t>
      </w:r>
      <w:r>
        <w:rPr>
          <w:rFonts w:eastAsiaTheme="minorEastAsia"/>
        </w:rPr>
        <w:t>d</w:t>
      </w:r>
      <w:r w:rsidRPr="004B4115">
        <w:rPr>
          <w:rFonts w:eastAsiaTheme="minorEastAsia"/>
        </w:rPr>
        <w:t xml:space="preserve"> votes for third party candidates, resulting in a more precise measure of partisanship than using total votes cast (Gelman, 2010; </w:t>
      </w:r>
      <w:r w:rsidRPr="004B4115">
        <w:t>Ambrosius, 201</w:t>
      </w:r>
      <w:r w:rsidR="00256374">
        <w:t>6</w:t>
      </w:r>
      <w:r w:rsidRPr="004B4115">
        <w:t>; Kinsella et al., 2015; Myers, 2013, McKee &amp; Teigen, 2009</w:t>
      </w:r>
      <w:r w:rsidRPr="004B4115">
        <w:rPr>
          <w:rFonts w:eastAsiaTheme="minorEastAsia"/>
        </w:rPr>
        <w:t xml:space="preserve">). </w:t>
      </w:r>
      <w:r w:rsidRPr="004B4115">
        <w:t>For each precinct, we used all of the available election data</w:t>
      </w:r>
      <w:r>
        <w:t xml:space="preserve"> with one exception: </w:t>
      </w:r>
      <w:r>
        <w:rPr>
          <w:rFonts w:eastAsiaTheme="minorEastAsia"/>
        </w:rPr>
        <w:t>r</w:t>
      </w:r>
      <w:r w:rsidRPr="004B4115">
        <w:rPr>
          <w:rFonts w:eastAsiaTheme="minorEastAsia"/>
        </w:rPr>
        <w:t>aces where a Democrat or a Republican ran unopposed by a member of the opposite party were eliminated</w:t>
      </w:r>
      <w:r>
        <w:rPr>
          <w:rFonts w:eastAsiaTheme="minorEastAsia"/>
        </w:rPr>
        <w:t>,</w:t>
      </w:r>
      <w:r w:rsidRPr="004B4115">
        <w:rPr>
          <w:rFonts w:eastAsiaTheme="minorEastAsia"/>
        </w:rPr>
        <w:t xml:space="preserve"> as these would produce an inaccurate measure of partisanship</w:t>
      </w:r>
      <w:r w:rsidRPr="004B4115">
        <w:t xml:space="preserve">. </w:t>
      </w:r>
      <w:r w:rsidRPr="009359FC">
        <w:t>We assigned the ratio of Republican</w:t>
      </w:r>
      <w:r>
        <w:t>-</w:t>
      </w:r>
      <w:r w:rsidRPr="009359FC">
        <w:t>to</w:t>
      </w:r>
      <w:r>
        <w:t>-</w:t>
      </w:r>
      <w:r w:rsidRPr="009359FC">
        <w:t xml:space="preserve">total two-party votes within each precinct to each </w:t>
      </w:r>
      <w:r>
        <w:t>map segment</w:t>
      </w:r>
      <w:r w:rsidRPr="009359FC">
        <w:t>, weighted appropriately, within each SAZ.</w:t>
      </w:r>
      <w:r>
        <w:t xml:space="preserve"> </w:t>
      </w:r>
      <w:r w:rsidRPr="004B4115">
        <w:t xml:space="preserve">The reapportioned votes for each precinct were then aggregated to the SAZ-level and used to calculate the average Republican percentage of the available races. We refer to this measure as </w:t>
      </w:r>
      <w:r w:rsidRPr="004B4115">
        <w:rPr>
          <w:i/>
          <w:iCs/>
        </w:rPr>
        <w:t xml:space="preserve">average percent Republican </w:t>
      </w:r>
      <w:r w:rsidRPr="004B4115">
        <w:t xml:space="preserve">and use it to establish cut-points described below. </w:t>
      </w:r>
    </w:p>
    <w:p w14:paraId="46DA431E" w14:textId="41FD5FCA" w:rsidR="007E13EB" w:rsidRDefault="000F1088" w:rsidP="007E13EB">
      <w:pPr>
        <w:ind w:firstLine="720"/>
        <w:jc w:val="both"/>
        <w:rPr>
          <w:iCs/>
        </w:rPr>
      </w:pPr>
      <w:r>
        <w:t>E</w:t>
      </w:r>
      <w:r w:rsidR="007E13EB" w:rsidRPr="004B4115">
        <w:t>stablishing precise definitions to describe an area as being either “conservative” or “liberal</w:t>
      </w:r>
      <w:r w:rsidR="007E13EB">
        <w:t>”</w:t>
      </w:r>
      <w:r>
        <w:t xml:space="preserve"> is a challenge.</w:t>
      </w:r>
      <w:r w:rsidR="007E13EB">
        <w:t xml:space="preserve"> </w:t>
      </w:r>
      <w:r w:rsidR="007E13EB" w:rsidRPr="004B4115">
        <w:t>A review of political geography literature indicates that methodology is not limited to a single approach (Ambrosius, 201</w:t>
      </w:r>
      <w:r w:rsidR="00256374">
        <w:t>6</w:t>
      </w:r>
      <w:r w:rsidR="007E13EB" w:rsidRPr="004B4115">
        <w:t xml:space="preserve">; Morrill et al., 2007; Johnston et al., 2016, Kinsella et al., 2015; McKee &amp; Teigen, 2009). Bishop (2008) uses landslide counties, defined by a presidential candidate’s victory of 20 percentage points or more, whereas Abramowitz (2010) defined landslide states by a difference of at least 10 percentage points between Republican and Democrat presidential candidates. We </w:t>
      </w:r>
      <w:r w:rsidR="007E13EB">
        <w:t>use</w:t>
      </w:r>
      <w:r w:rsidR="007E13EB" w:rsidRPr="004B4115">
        <w:t xml:space="preserve"> both measures</w:t>
      </w:r>
      <w:r w:rsidR="007E13EB">
        <w:t xml:space="preserve"> </w:t>
      </w:r>
      <w:r w:rsidR="007E13EB" w:rsidRPr="004B4115">
        <w:t xml:space="preserve">– the 10-point landslide and the 20-point landslide – for our analyses. Using the 10-point landslide, we divided our sample into three subgroups:  </w:t>
      </w:r>
      <w:r w:rsidR="007E13EB" w:rsidRPr="004B4115">
        <w:rPr>
          <w:i/>
          <w:iCs/>
        </w:rPr>
        <w:t xml:space="preserve">Democrat-leaning </w:t>
      </w:r>
      <w:r w:rsidR="007E13EB" w:rsidRPr="004B4115">
        <w:t xml:space="preserve">(&lt; 45%), </w:t>
      </w:r>
      <w:r w:rsidR="007E13EB" w:rsidRPr="004B4115">
        <w:rPr>
          <w:i/>
          <w:iCs/>
        </w:rPr>
        <w:t xml:space="preserve">Republican-leaning </w:t>
      </w:r>
      <w:r w:rsidR="007E13EB" w:rsidRPr="004B4115">
        <w:t xml:space="preserve">(&gt; 55%), </w:t>
      </w:r>
      <w:r w:rsidR="007E13EB" w:rsidRPr="004B4115">
        <w:rPr>
          <w:i/>
          <w:iCs/>
        </w:rPr>
        <w:t xml:space="preserve">mixed </w:t>
      </w:r>
      <w:r w:rsidR="007E13EB" w:rsidRPr="004B4115">
        <w:t xml:space="preserve">(45-55%). Using the 20-point landslide, we </w:t>
      </w:r>
      <w:r w:rsidR="00D343B9">
        <w:t xml:space="preserve">divided our sample into three different </w:t>
      </w:r>
      <w:r w:rsidR="007E13EB" w:rsidRPr="004B4115">
        <w:t xml:space="preserve">subgroups: </w:t>
      </w:r>
      <w:r w:rsidR="007E13EB">
        <w:rPr>
          <w:i/>
          <w:iCs/>
        </w:rPr>
        <w:t xml:space="preserve">strongly </w:t>
      </w:r>
      <w:r w:rsidR="007E13EB" w:rsidRPr="004B4115">
        <w:rPr>
          <w:i/>
          <w:iCs/>
        </w:rPr>
        <w:t>Democrat</w:t>
      </w:r>
      <w:r w:rsidR="007E13EB">
        <w:rPr>
          <w:i/>
          <w:iCs/>
        </w:rPr>
        <w:t>ic</w:t>
      </w:r>
      <w:r w:rsidR="007E13EB" w:rsidRPr="004B4115">
        <w:rPr>
          <w:i/>
          <w:iCs/>
        </w:rPr>
        <w:t xml:space="preserve"> </w:t>
      </w:r>
      <w:r w:rsidR="007E13EB" w:rsidRPr="004B4115">
        <w:t xml:space="preserve">(&lt; 40%), </w:t>
      </w:r>
      <w:r w:rsidR="007E13EB">
        <w:rPr>
          <w:i/>
          <w:iCs/>
        </w:rPr>
        <w:t xml:space="preserve">strongly </w:t>
      </w:r>
      <w:r w:rsidR="007E13EB" w:rsidRPr="004B4115">
        <w:rPr>
          <w:i/>
          <w:iCs/>
        </w:rPr>
        <w:t>Republica</w:t>
      </w:r>
      <w:r w:rsidR="007E13EB">
        <w:rPr>
          <w:i/>
          <w:iCs/>
        </w:rPr>
        <w:t>n</w:t>
      </w:r>
      <w:r w:rsidR="007E13EB" w:rsidRPr="004B4115">
        <w:rPr>
          <w:i/>
          <w:iCs/>
        </w:rPr>
        <w:t xml:space="preserve"> </w:t>
      </w:r>
      <w:r w:rsidR="007E13EB" w:rsidRPr="004B4115">
        <w:t xml:space="preserve">(&gt; 60%), and </w:t>
      </w:r>
      <w:r w:rsidR="007E13EB" w:rsidRPr="004B4115">
        <w:rPr>
          <w:i/>
          <w:iCs/>
        </w:rPr>
        <w:t xml:space="preserve">mixed </w:t>
      </w:r>
      <w:r w:rsidR="007E13EB" w:rsidRPr="004B4115">
        <w:t>(40-60%)</w:t>
      </w:r>
      <w:r w:rsidR="007E13EB" w:rsidRPr="004B4115">
        <w:rPr>
          <w:i/>
          <w:iCs/>
        </w:rPr>
        <w:t>.</w:t>
      </w:r>
      <w:r w:rsidR="007E13EB">
        <w:rPr>
          <w:i/>
          <w:iCs/>
        </w:rPr>
        <w:t xml:space="preserve"> </w:t>
      </w:r>
      <w:r w:rsidR="007E13EB">
        <w:rPr>
          <w:iCs/>
        </w:rPr>
        <w:t>While not a perfect match, we assume Republican-leaning and strongly Republican areas are generally more conservative and Democrat-leaning and strongly Democratic areas are generally more liberal (</w:t>
      </w:r>
      <w:proofErr w:type="spellStart"/>
      <w:r w:rsidR="007E13EB" w:rsidRPr="00B93CDF">
        <w:t>Levendusky</w:t>
      </w:r>
      <w:proofErr w:type="spellEnd"/>
      <w:r w:rsidR="007E13EB" w:rsidRPr="00B93CDF">
        <w:t>, 2009</w:t>
      </w:r>
      <w:r w:rsidR="007E13EB">
        <w:rPr>
          <w:iCs/>
        </w:rPr>
        <w:t>).</w:t>
      </w:r>
      <w:r w:rsidR="00677873">
        <w:rPr>
          <w:iCs/>
        </w:rPr>
        <w:t xml:space="preserve"> </w:t>
      </w:r>
    </w:p>
    <w:p w14:paraId="3E4DAF70" w14:textId="0A441CF9" w:rsidR="007E13EB" w:rsidRPr="00677873" w:rsidRDefault="007E13EB" w:rsidP="00677873">
      <w:pPr>
        <w:ind w:firstLine="720"/>
        <w:jc w:val="both"/>
        <w:rPr>
          <w:iCs/>
        </w:rPr>
      </w:pPr>
      <w:r>
        <w:rPr>
          <w:iCs/>
        </w:rPr>
        <w:t>To inc</w:t>
      </w:r>
      <w:r w:rsidR="00D343B9">
        <w:rPr>
          <w:iCs/>
        </w:rPr>
        <w:t>orporate</w:t>
      </w:r>
      <w:r>
        <w:rPr>
          <w:iCs/>
        </w:rPr>
        <w:t xml:space="preserve"> socioeconomic status, w</w:t>
      </w:r>
      <w:r w:rsidRPr="004B4115">
        <w:rPr>
          <w:bCs/>
        </w:rPr>
        <w:t>e use</w:t>
      </w:r>
      <w:r>
        <w:rPr>
          <w:bCs/>
        </w:rPr>
        <w:t>d</w:t>
      </w:r>
      <w:r w:rsidRPr="004B4115">
        <w:rPr>
          <w:bCs/>
        </w:rPr>
        <w:t xml:space="preserve"> the </w:t>
      </w:r>
      <w:r w:rsidRPr="004B4115">
        <w:t>percentage of students with access to free and reduced lunch prices within a school (</w:t>
      </w:r>
      <w:r w:rsidRPr="004B4115">
        <w:rPr>
          <w:i/>
          <w:iCs/>
        </w:rPr>
        <w:t>% FRPL</w:t>
      </w:r>
      <w:r w:rsidRPr="004B4115">
        <w:t>) as a single indicator of socioeconomic status.</w:t>
      </w:r>
      <w:r w:rsidRPr="004B4115">
        <w:rPr>
          <w:bCs/>
        </w:rPr>
        <w:t xml:space="preserve"> </w:t>
      </w:r>
      <w:r w:rsidRPr="004B4115">
        <w:t xml:space="preserve">While socioeconomic status reflects a far broader array of circumstances, % FRPL reflects the general context of a school’s attendance zone in terms of the concentration of low-income students (NCES, 2020). </w:t>
      </w:r>
      <w:r>
        <w:t xml:space="preserve">NCES divides public schools into categories by FRPL eligibility where &lt; 25% is low-poverty; 25.1 to 50% is mid-low poverty; 50.1 to 75% is mid-high poverty; and &gt; 75% is high-poverty. To maintain sufficient statistical power within each subsample, we consolidated </w:t>
      </w:r>
      <w:r>
        <w:lastRenderedPageBreak/>
        <w:t xml:space="preserve">categories, coding schools with &gt; 50% FRPL as poorer schools and schools </w:t>
      </w:r>
      <w:r w:rsidRPr="00FA2228">
        <w:t xml:space="preserve">with </w:t>
      </w:r>
      <w:r w:rsidRPr="00FA2228">
        <w:rPr>
          <w:u w:val="single"/>
        </w:rPr>
        <w:t>&lt;</w:t>
      </w:r>
      <w:r w:rsidRPr="00FA2228">
        <w:t xml:space="preserve"> 50% FRPL as wealthier schools. These categories were then combined with the first sociopolitical context measure to create six total categories with poorer and wealthier subgroups</w:t>
      </w:r>
      <w:r>
        <w:t xml:space="preserve"> of </w:t>
      </w:r>
      <w:r w:rsidR="00D343B9">
        <w:t xml:space="preserve">each </w:t>
      </w:r>
      <w:r>
        <w:t xml:space="preserve">political group (conservative/Republican; liberal/Democrat; and mixed). </w:t>
      </w:r>
      <w:r w:rsidR="00677873">
        <w:rPr>
          <w:iCs/>
        </w:rPr>
        <w:t xml:space="preserve">For a more detailed description of the </w:t>
      </w:r>
      <w:r w:rsidR="008A1739">
        <w:rPr>
          <w:iCs/>
        </w:rPr>
        <w:t>m</w:t>
      </w:r>
      <w:r w:rsidR="00677873">
        <w:rPr>
          <w:iCs/>
        </w:rPr>
        <w:t xml:space="preserve">ethods for determining sociopolitical context, please see the </w:t>
      </w:r>
      <w:r w:rsidR="00677873" w:rsidRPr="00677873">
        <w:rPr>
          <w:i/>
          <w:iCs/>
        </w:rPr>
        <w:t>Supplementary Materials</w:t>
      </w:r>
      <w:r w:rsidR="00677873">
        <w:rPr>
          <w:iCs/>
        </w:rPr>
        <w:t>.</w:t>
      </w:r>
    </w:p>
    <w:p w14:paraId="393DD8CD" w14:textId="77777777" w:rsidR="009B6560" w:rsidRPr="007B0228" w:rsidRDefault="009B6560" w:rsidP="009B6560">
      <w:pPr>
        <w:ind w:firstLine="720"/>
        <w:jc w:val="both"/>
      </w:pPr>
    </w:p>
    <w:p w14:paraId="14B30B83" w14:textId="77777777" w:rsidR="009B6560" w:rsidRPr="00E23B7B" w:rsidRDefault="009B6560" w:rsidP="009B6560">
      <w:pPr>
        <w:pStyle w:val="Heading3"/>
        <w:spacing w:before="0"/>
        <w:jc w:val="both"/>
        <w:rPr>
          <w:rFonts w:ascii="Times New Roman" w:hAnsi="Times New Roman" w:cs="Times New Roman"/>
          <w:b/>
          <w:bCs/>
          <w:i/>
          <w:iCs/>
          <w:color w:val="auto"/>
        </w:rPr>
      </w:pPr>
      <w:bookmarkStart w:id="22" w:name="_Toc101646953"/>
      <w:r w:rsidRPr="00E23B7B">
        <w:rPr>
          <w:rFonts w:ascii="Times New Roman" w:hAnsi="Times New Roman" w:cs="Times New Roman"/>
          <w:b/>
          <w:bCs/>
          <w:i/>
          <w:iCs/>
          <w:color w:val="auto"/>
        </w:rPr>
        <w:t>Data cleaning &amp; aggregation</w:t>
      </w:r>
      <w:bookmarkEnd w:id="22"/>
    </w:p>
    <w:p w14:paraId="33CD6EAB" w14:textId="7AE935B3" w:rsidR="009B6560" w:rsidRDefault="009B6560" w:rsidP="009B6560">
      <w:pPr>
        <w:ind w:firstLine="720"/>
        <w:jc w:val="both"/>
        <w:rPr>
          <w:rFonts w:eastAsiaTheme="minorEastAsia"/>
        </w:rPr>
      </w:pPr>
      <w:bookmarkStart w:id="23" w:name="_Hlk125630120"/>
      <w:r w:rsidRPr="00E23B7B">
        <w:rPr>
          <w:rFonts w:eastAsiaTheme="minorEastAsia"/>
        </w:rPr>
        <w:t xml:space="preserve">Data cleaning procedures on the </w:t>
      </w:r>
      <w:r>
        <w:rPr>
          <w:rFonts w:eastAsiaTheme="minorEastAsia"/>
        </w:rPr>
        <w:t>original</w:t>
      </w:r>
      <w:r w:rsidRPr="00E23B7B">
        <w:rPr>
          <w:rFonts w:eastAsiaTheme="minorEastAsia"/>
        </w:rPr>
        <w:t xml:space="preserve"> data set </w:t>
      </w:r>
      <w:r>
        <w:rPr>
          <w:rFonts w:eastAsiaTheme="minorEastAsia"/>
        </w:rPr>
        <w:t xml:space="preserve">of 345 programs </w:t>
      </w:r>
      <w:r w:rsidRPr="00E23B7B">
        <w:rPr>
          <w:rFonts w:eastAsiaTheme="minorEastAsia"/>
        </w:rPr>
        <w:t xml:space="preserve">included removing invalid responses and screening for multivariate outliers, as described in </w:t>
      </w:r>
      <w:r w:rsidR="00CB3341">
        <w:rPr>
          <w:rFonts w:eastAsiaTheme="minorEastAsia"/>
        </w:rPr>
        <w:t>Powell et al. (2022)</w:t>
      </w:r>
      <w:r w:rsidRPr="00E23B7B">
        <w:rPr>
          <w:rFonts w:eastAsiaTheme="minorEastAsia"/>
        </w:rPr>
        <w:t xml:space="preserve">. </w:t>
      </w:r>
      <w:bookmarkStart w:id="24" w:name="_Hlk125630143"/>
      <w:bookmarkEnd w:id="23"/>
      <w:r w:rsidRPr="00E23B7B">
        <w:rPr>
          <w:rFonts w:eastAsiaTheme="minorEastAsia"/>
        </w:rPr>
        <w:t xml:space="preserve">The data for this study were </w:t>
      </w:r>
      <w:r>
        <w:rPr>
          <w:rFonts w:eastAsiaTheme="minorEastAsia"/>
        </w:rPr>
        <w:t xml:space="preserve">further </w:t>
      </w:r>
      <w:r w:rsidRPr="00E23B7B">
        <w:rPr>
          <w:rFonts w:eastAsiaTheme="minorEastAsia"/>
        </w:rPr>
        <w:t>limited to programs attended by public school groups of a single grade and known racial majority.</w:t>
      </w:r>
      <w:bookmarkEnd w:id="24"/>
      <w:r w:rsidRPr="00E23B7B">
        <w:rPr>
          <w:rFonts w:eastAsiaTheme="minorEastAsia"/>
        </w:rPr>
        <w:t xml:space="preserve"> W</w:t>
      </w:r>
      <w:r w:rsidRPr="00E23B7B">
        <w:t>e removed 83 programs with non-public school groups or for which the SAZ was not available. To allow for group-mean-centering of the EE21 outcome</w:t>
      </w:r>
      <w:r w:rsidR="006418C0" w:rsidRPr="006418C0">
        <w:t xml:space="preserve"> </w:t>
      </w:r>
      <w:r w:rsidR="006418C0">
        <w:t>based on grade level and race</w:t>
      </w:r>
      <w:r w:rsidRPr="00E23B7B">
        <w:t>, we r</w:t>
      </w:r>
      <w:r w:rsidR="00D343B9">
        <w:t xml:space="preserve">emoved another 16 programs for </w:t>
      </w:r>
      <w:r w:rsidRPr="00E23B7B">
        <w:t>multi</w:t>
      </w:r>
      <w:r w:rsidR="00D343B9">
        <w:t>-</w:t>
      </w:r>
      <w:r w:rsidRPr="00E23B7B">
        <w:t>grade groups or groups of unknown racial identity</w:t>
      </w:r>
      <w:r w:rsidR="00D343B9">
        <w:t xml:space="preserve"> </w:t>
      </w:r>
      <w:r w:rsidR="00D343B9" w:rsidRPr="00E23B7B">
        <w:rPr>
          <w:rFonts w:eastAsiaTheme="minorEastAsia"/>
        </w:rPr>
        <w:t xml:space="preserve">(Table </w:t>
      </w:r>
      <w:r w:rsidR="00C437CB">
        <w:rPr>
          <w:rFonts w:eastAsiaTheme="minorEastAsia"/>
        </w:rPr>
        <w:t>2</w:t>
      </w:r>
      <w:r w:rsidR="00D343B9" w:rsidRPr="00E23B7B">
        <w:rPr>
          <w:rFonts w:eastAsiaTheme="minorEastAsia"/>
        </w:rPr>
        <w:t>)</w:t>
      </w:r>
      <w:r w:rsidRPr="00E23B7B">
        <w:t xml:space="preserve">. </w:t>
      </w:r>
      <w:bookmarkStart w:id="25" w:name="_Hlk125630155"/>
      <w:r>
        <w:rPr>
          <w:rFonts w:eastAsiaTheme="minorEastAsia"/>
        </w:rPr>
        <w:t>The</w:t>
      </w:r>
      <w:r w:rsidRPr="00E23B7B">
        <w:rPr>
          <w:rFonts w:eastAsiaTheme="minorEastAsia"/>
        </w:rPr>
        <w:t xml:space="preserve"> resulting final sample for this study included 235 programs provided by 65 organizations across 114 schools in 22 states. </w:t>
      </w:r>
      <w:bookmarkEnd w:id="25"/>
    </w:p>
    <w:p w14:paraId="6B1B53EF" w14:textId="77777777" w:rsidR="009B6560" w:rsidRPr="00EA10DA" w:rsidRDefault="009B6560" w:rsidP="009B6560">
      <w:pPr>
        <w:ind w:firstLine="720"/>
        <w:jc w:val="both"/>
        <w:rPr>
          <w:rFonts w:eastAsiaTheme="minorEastAsia"/>
        </w:rPr>
      </w:pPr>
    </w:p>
    <w:p w14:paraId="126FF269" w14:textId="1A5A2A56" w:rsidR="009B6560" w:rsidRPr="00E23B7B" w:rsidRDefault="009B6560" w:rsidP="009B6560">
      <w:pPr>
        <w:rPr>
          <w:sz w:val="22"/>
          <w:szCs w:val="22"/>
        </w:rPr>
      </w:pPr>
      <w:r w:rsidRPr="00E23B7B">
        <w:rPr>
          <w:i/>
          <w:iCs/>
          <w:sz w:val="22"/>
          <w:szCs w:val="22"/>
        </w:rPr>
        <w:t xml:space="preserve">Table </w:t>
      </w:r>
      <w:r w:rsidR="00C437CB">
        <w:rPr>
          <w:i/>
          <w:iCs/>
          <w:sz w:val="22"/>
          <w:szCs w:val="22"/>
        </w:rPr>
        <w:t>2</w:t>
      </w:r>
      <w:r w:rsidR="00140E6F">
        <w:rPr>
          <w:i/>
          <w:iCs/>
          <w:sz w:val="22"/>
          <w:szCs w:val="22"/>
        </w:rPr>
        <w:t>.</w:t>
      </w:r>
      <w:r w:rsidRPr="00E23B7B">
        <w:rPr>
          <w:i/>
          <w:iCs/>
          <w:sz w:val="22"/>
          <w:szCs w:val="22"/>
        </w:rPr>
        <w:t xml:space="preserve"> Data cleaning of programs</w:t>
      </w:r>
    </w:p>
    <w:tbl>
      <w:tblPr>
        <w:tblStyle w:val="TableGrid"/>
        <w:tblW w:w="0" w:type="auto"/>
        <w:tblInd w:w="-5" w:type="dxa"/>
        <w:tblLook w:val="04A0" w:firstRow="1" w:lastRow="0" w:firstColumn="1" w:lastColumn="0" w:noHBand="0" w:noVBand="1"/>
      </w:tblPr>
      <w:tblGrid>
        <w:gridCol w:w="3425"/>
        <w:gridCol w:w="2160"/>
        <w:gridCol w:w="2160"/>
      </w:tblGrid>
      <w:tr w:rsidR="009B6560" w:rsidRPr="00E23B7B" w14:paraId="75CF447A" w14:textId="77777777" w:rsidTr="001A08FA">
        <w:tc>
          <w:tcPr>
            <w:tcW w:w="3425" w:type="dxa"/>
            <w:tcBorders>
              <w:top w:val="single" w:sz="18" w:space="0" w:color="auto"/>
              <w:left w:val="nil"/>
              <w:bottom w:val="single" w:sz="4" w:space="0" w:color="auto"/>
              <w:right w:val="nil"/>
            </w:tcBorders>
          </w:tcPr>
          <w:p w14:paraId="6BB35FE9" w14:textId="77777777" w:rsidR="009B6560" w:rsidRPr="00E23B7B" w:rsidRDefault="009B6560" w:rsidP="001A08FA">
            <w:pPr>
              <w:rPr>
                <w:b/>
                <w:bCs/>
                <w:sz w:val="18"/>
                <w:szCs w:val="18"/>
              </w:rPr>
            </w:pPr>
            <w:r w:rsidRPr="00E23B7B">
              <w:rPr>
                <w:b/>
                <w:bCs/>
                <w:sz w:val="18"/>
                <w:szCs w:val="18"/>
              </w:rPr>
              <w:t>Reason for removal</w:t>
            </w:r>
          </w:p>
        </w:tc>
        <w:tc>
          <w:tcPr>
            <w:tcW w:w="2160" w:type="dxa"/>
            <w:tcBorders>
              <w:top w:val="single" w:sz="18" w:space="0" w:color="auto"/>
              <w:left w:val="nil"/>
              <w:bottom w:val="single" w:sz="4" w:space="0" w:color="auto"/>
              <w:right w:val="nil"/>
            </w:tcBorders>
          </w:tcPr>
          <w:p w14:paraId="5B736F92" w14:textId="77777777" w:rsidR="009B6560" w:rsidRPr="00E23B7B" w:rsidRDefault="009B6560" w:rsidP="001A08FA">
            <w:pPr>
              <w:jc w:val="center"/>
              <w:rPr>
                <w:b/>
                <w:bCs/>
                <w:sz w:val="18"/>
                <w:szCs w:val="18"/>
              </w:rPr>
            </w:pPr>
            <w:r w:rsidRPr="00E23B7B">
              <w:rPr>
                <w:b/>
                <w:bCs/>
                <w:sz w:val="18"/>
                <w:szCs w:val="18"/>
              </w:rPr>
              <w:t>Programs removed</w:t>
            </w:r>
          </w:p>
        </w:tc>
        <w:tc>
          <w:tcPr>
            <w:tcW w:w="2160" w:type="dxa"/>
            <w:tcBorders>
              <w:top w:val="single" w:sz="18" w:space="0" w:color="auto"/>
              <w:left w:val="nil"/>
              <w:bottom w:val="single" w:sz="4" w:space="0" w:color="auto"/>
              <w:right w:val="nil"/>
            </w:tcBorders>
          </w:tcPr>
          <w:p w14:paraId="768C0CAD" w14:textId="77777777" w:rsidR="009B6560" w:rsidRPr="00E23B7B" w:rsidRDefault="009B6560" w:rsidP="001A08FA">
            <w:pPr>
              <w:jc w:val="center"/>
              <w:rPr>
                <w:b/>
                <w:bCs/>
                <w:sz w:val="18"/>
                <w:szCs w:val="18"/>
              </w:rPr>
            </w:pPr>
            <w:r w:rsidRPr="00E23B7B">
              <w:rPr>
                <w:b/>
                <w:bCs/>
                <w:sz w:val="18"/>
                <w:szCs w:val="18"/>
              </w:rPr>
              <w:t>Programs remaining</w:t>
            </w:r>
          </w:p>
        </w:tc>
      </w:tr>
      <w:tr w:rsidR="009B6560" w:rsidRPr="00E23B7B" w14:paraId="759EE618" w14:textId="77777777" w:rsidTr="001A08FA">
        <w:tc>
          <w:tcPr>
            <w:tcW w:w="3425" w:type="dxa"/>
            <w:tcBorders>
              <w:left w:val="nil"/>
              <w:bottom w:val="nil"/>
              <w:right w:val="nil"/>
            </w:tcBorders>
          </w:tcPr>
          <w:p w14:paraId="2B82F16F" w14:textId="77777777" w:rsidR="009B6560" w:rsidRPr="00E23B7B" w:rsidRDefault="009B6560" w:rsidP="001A08FA">
            <w:pPr>
              <w:rPr>
                <w:sz w:val="18"/>
                <w:szCs w:val="18"/>
              </w:rPr>
            </w:pPr>
            <w:r w:rsidRPr="00E23B7B">
              <w:rPr>
                <w:sz w:val="18"/>
                <w:szCs w:val="18"/>
              </w:rPr>
              <w:t>Initial sample</w:t>
            </w:r>
          </w:p>
        </w:tc>
        <w:tc>
          <w:tcPr>
            <w:tcW w:w="2160" w:type="dxa"/>
            <w:tcBorders>
              <w:left w:val="nil"/>
              <w:bottom w:val="nil"/>
              <w:right w:val="nil"/>
            </w:tcBorders>
          </w:tcPr>
          <w:p w14:paraId="59750591" w14:textId="77777777" w:rsidR="009B6560" w:rsidRPr="00E23B7B" w:rsidRDefault="009B6560" w:rsidP="001A08FA">
            <w:pPr>
              <w:jc w:val="center"/>
              <w:rPr>
                <w:sz w:val="18"/>
                <w:szCs w:val="18"/>
              </w:rPr>
            </w:pPr>
            <w:r w:rsidRPr="00E23B7B">
              <w:rPr>
                <w:sz w:val="18"/>
                <w:szCs w:val="18"/>
              </w:rPr>
              <w:t>0</w:t>
            </w:r>
          </w:p>
        </w:tc>
        <w:tc>
          <w:tcPr>
            <w:tcW w:w="2160" w:type="dxa"/>
            <w:tcBorders>
              <w:left w:val="nil"/>
              <w:bottom w:val="nil"/>
              <w:right w:val="nil"/>
            </w:tcBorders>
          </w:tcPr>
          <w:p w14:paraId="79636822" w14:textId="77777777" w:rsidR="009B6560" w:rsidRPr="00E23B7B" w:rsidRDefault="009B6560" w:rsidP="001A08FA">
            <w:pPr>
              <w:jc w:val="center"/>
              <w:rPr>
                <w:sz w:val="18"/>
                <w:szCs w:val="18"/>
              </w:rPr>
            </w:pPr>
            <w:r w:rsidRPr="00E23B7B">
              <w:rPr>
                <w:sz w:val="18"/>
                <w:szCs w:val="18"/>
              </w:rPr>
              <w:t>345</w:t>
            </w:r>
          </w:p>
        </w:tc>
      </w:tr>
      <w:tr w:rsidR="009B6560" w:rsidRPr="00E23B7B" w14:paraId="18369FE6" w14:textId="77777777" w:rsidTr="001A08FA">
        <w:tc>
          <w:tcPr>
            <w:tcW w:w="3425" w:type="dxa"/>
            <w:tcBorders>
              <w:top w:val="nil"/>
              <w:left w:val="nil"/>
              <w:bottom w:val="nil"/>
              <w:right w:val="nil"/>
            </w:tcBorders>
          </w:tcPr>
          <w:p w14:paraId="6BEE2FC3" w14:textId="77777777" w:rsidR="009B6560" w:rsidRPr="00E23B7B" w:rsidRDefault="009B6560" w:rsidP="001A08FA">
            <w:pPr>
              <w:rPr>
                <w:sz w:val="18"/>
                <w:szCs w:val="18"/>
              </w:rPr>
            </w:pPr>
            <w:r w:rsidRPr="00E23B7B">
              <w:rPr>
                <w:sz w:val="18"/>
                <w:szCs w:val="18"/>
              </w:rPr>
              <w:t>Validity screening</w:t>
            </w:r>
          </w:p>
        </w:tc>
        <w:tc>
          <w:tcPr>
            <w:tcW w:w="2160" w:type="dxa"/>
            <w:tcBorders>
              <w:top w:val="nil"/>
              <w:left w:val="nil"/>
              <w:bottom w:val="nil"/>
              <w:right w:val="nil"/>
            </w:tcBorders>
          </w:tcPr>
          <w:p w14:paraId="2BAB2E39" w14:textId="77777777" w:rsidR="009B6560" w:rsidRPr="00E23B7B" w:rsidRDefault="009B6560" w:rsidP="001A08FA">
            <w:pPr>
              <w:jc w:val="center"/>
              <w:rPr>
                <w:sz w:val="18"/>
                <w:szCs w:val="18"/>
              </w:rPr>
            </w:pPr>
            <w:r w:rsidRPr="00E23B7B">
              <w:rPr>
                <w:sz w:val="18"/>
                <w:szCs w:val="18"/>
              </w:rPr>
              <w:t>11</w:t>
            </w:r>
          </w:p>
        </w:tc>
        <w:tc>
          <w:tcPr>
            <w:tcW w:w="2160" w:type="dxa"/>
            <w:tcBorders>
              <w:top w:val="nil"/>
              <w:left w:val="nil"/>
              <w:bottom w:val="nil"/>
              <w:right w:val="nil"/>
            </w:tcBorders>
          </w:tcPr>
          <w:p w14:paraId="61190736" w14:textId="77777777" w:rsidR="009B6560" w:rsidRPr="00E23B7B" w:rsidRDefault="009B6560" w:rsidP="001A08FA">
            <w:pPr>
              <w:jc w:val="center"/>
              <w:rPr>
                <w:sz w:val="18"/>
                <w:szCs w:val="18"/>
              </w:rPr>
            </w:pPr>
            <w:r w:rsidRPr="00E23B7B">
              <w:rPr>
                <w:sz w:val="18"/>
                <w:szCs w:val="18"/>
              </w:rPr>
              <w:t>334</w:t>
            </w:r>
          </w:p>
        </w:tc>
      </w:tr>
      <w:tr w:rsidR="009B6560" w:rsidRPr="00E23B7B" w14:paraId="513101C1" w14:textId="77777777" w:rsidTr="001A08FA">
        <w:tc>
          <w:tcPr>
            <w:tcW w:w="3425" w:type="dxa"/>
            <w:tcBorders>
              <w:top w:val="nil"/>
              <w:left w:val="nil"/>
              <w:bottom w:val="nil"/>
              <w:right w:val="nil"/>
            </w:tcBorders>
          </w:tcPr>
          <w:p w14:paraId="02A10902" w14:textId="77777777" w:rsidR="009B6560" w:rsidRPr="00E23B7B" w:rsidRDefault="009B6560" w:rsidP="001A08FA">
            <w:pPr>
              <w:rPr>
                <w:sz w:val="18"/>
                <w:szCs w:val="18"/>
              </w:rPr>
            </w:pPr>
            <w:r w:rsidRPr="00E23B7B">
              <w:rPr>
                <w:sz w:val="18"/>
                <w:szCs w:val="18"/>
              </w:rPr>
              <w:t>Non-public school/SAZ unavailable</w:t>
            </w:r>
          </w:p>
        </w:tc>
        <w:tc>
          <w:tcPr>
            <w:tcW w:w="2160" w:type="dxa"/>
            <w:tcBorders>
              <w:top w:val="nil"/>
              <w:left w:val="nil"/>
              <w:bottom w:val="nil"/>
              <w:right w:val="nil"/>
            </w:tcBorders>
          </w:tcPr>
          <w:p w14:paraId="76E34C05" w14:textId="77777777" w:rsidR="009B6560" w:rsidRPr="00E23B7B" w:rsidRDefault="009B6560" w:rsidP="001A08FA">
            <w:pPr>
              <w:jc w:val="center"/>
              <w:rPr>
                <w:sz w:val="18"/>
                <w:szCs w:val="18"/>
              </w:rPr>
            </w:pPr>
            <w:r w:rsidRPr="00E23B7B">
              <w:rPr>
                <w:sz w:val="18"/>
                <w:szCs w:val="18"/>
              </w:rPr>
              <w:t>83</w:t>
            </w:r>
          </w:p>
        </w:tc>
        <w:tc>
          <w:tcPr>
            <w:tcW w:w="2160" w:type="dxa"/>
            <w:tcBorders>
              <w:top w:val="nil"/>
              <w:left w:val="nil"/>
              <w:bottom w:val="nil"/>
              <w:right w:val="nil"/>
            </w:tcBorders>
          </w:tcPr>
          <w:p w14:paraId="08E841CD" w14:textId="77777777" w:rsidR="009B6560" w:rsidRPr="00E23B7B" w:rsidRDefault="009B6560" w:rsidP="001A08FA">
            <w:pPr>
              <w:jc w:val="center"/>
              <w:rPr>
                <w:sz w:val="18"/>
                <w:szCs w:val="18"/>
              </w:rPr>
            </w:pPr>
            <w:r w:rsidRPr="00E23B7B">
              <w:rPr>
                <w:sz w:val="18"/>
                <w:szCs w:val="18"/>
              </w:rPr>
              <w:t>251</w:t>
            </w:r>
          </w:p>
        </w:tc>
      </w:tr>
      <w:tr w:rsidR="009B6560" w:rsidRPr="00E23B7B" w14:paraId="07859EAA" w14:textId="77777777" w:rsidTr="001A08FA">
        <w:tc>
          <w:tcPr>
            <w:tcW w:w="3425" w:type="dxa"/>
            <w:tcBorders>
              <w:top w:val="nil"/>
              <w:left w:val="nil"/>
              <w:bottom w:val="nil"/>
              <w:right w:val="nil"/>
            </w:tcBorders>
          </w:tcPr>
          <w:p w14:paraId="601D305D" w14:textId="77777777" w:rsidR="009B6560" w:rsidRPr="00E23B7B" w:rsidRDefault="009B6560" w:rsidP="001A08FA">
            <w:pPr>
              <w:rPr>
                <w:sz w:val="18"/>
                <w:szCs w:val="18"/>
              </w:rPr>
            </w:pPr>
            <w:r w:rsidRPr="00E23B7B">
              <w:rPr>
                <w:sz w:val="18"/>
                <w:szCs w:val="18"/>
              </w:rPr>
              <w:t>Multigrade/Unknown racial majority</w:t>
            </w:r>
          </w:p>
        </w:tc>
        <w:tc>
          <w:tcPr>
            <w:tcW w:w="2160" w:type="dxa"/>
            <w:tcBorders>
              <w:top w:val="nil"/>
              <w:left w:val="nil"/>
              <w:bottom w:val="nil"/>
              <w:right w:val="nil"/>
            </w:tcBorders>
          </w:tcPr>
          <w:p w14:paraId="5AD54529" w14:textId="77777777" w:rsidR="009B6560" w:rsidRPr="00E23B7B" w:rsidRDefault="009B6560" w:rsidP="001A08FA">
            <w:pPr>
              <w:jc w:val="center"/>
              <w:rPr>
                <w:sz w:val="18"/>
                <w:szCs w:val="18"/>
              </w:rPr>
            </w:pPr>
            <w:r w:rsidRPr="00E23B7B">
              <w:rPr>
                <w:sz w:val="18"/>
                <w:szCs w:val="18"/>
              </w:rPr>
              <w:t>16</w:t>
            </w:r>
          </w:p>
        </w:tc>
        <w:tc>
          <w:tcPr>
            <w:tcW w:w="2160" w:type="dxa"/>
            <w:tcBorders>
              <w:top w:val="nil"/>
              <w:left w:val="nil"/>
              <w:bottom w:val="nil"/>
              <w:right w:val="nil"/>
            </w:tcBorders>
          </w:tcPr>
          <w:p w14:paraId="42CB2CE1" w14:textId="77777777" w:rsidR="009B6560" w:rsidRPr="00E23B7B" w:rsidRDefault="009B6560" w:rsidP="001A08FA">
            <w:pPr>
              <w:jc w:val="center"/>
              <w:rPr>
                <w:sz w:val="18"/>
                <w:szCs w:val="18"/>
              </w:rPr>
            </w:pPr>
            <w:r w:rsidRPr="00E23B7B">
              <w:rPr>
                <w:sz w:val="18"/>
                <w:szCs w:val="18"/>
              </w:rPr>
              <w:t>235</w:t>
            </w:r>
          </w:p>
        </w:tc>
      </w:tr>
      <w:tr w:rsidR="009B6560" w:rsidRPr="00E23B7B" w14:paraId="441340A8" w14:textId="77777777" w:rsidTr="001A08FA">
        <w:tc>
          <w:tcPr>
            <w:tcW w:w="3425" w:type="dxa"/>
            <w:tcBorders>
              <w:top w:val="nil"/>
              <w:left w:val="nil"/>
              <w:bottom w:val="single" w:sz="18" w:space="0" w:color="auto"/>
              <w:right w:val="nil"/>
            </w:tcBorders>
          </w:tcPr>
          <w:p w14:paraId="2C249AF4" w14:textId="77777777" w:rsidR="009B6560" w:rsidRPr="00E23B7B" w:rsidRDefault="009B6560" w:rsidP="001A08FA">
            <w:pPr>
              <w:rPr>
                <w:b/>
                <w:bCs/>
                <w:sz w:val="18"/>
                <w:szCs w:val="18"/>
              </w:rPr>
            </w:pPr>
            <w:r w:rsidRPr="00E23B7B">
              <w:rPr>
                <w:b/>
                <w:bCs/>
                <w:sz w:val="18"/>
                <w:szCs w:val="18"/>
              </w:rPr>
              <w:t>Total</w:t>
            </w:r>
          </w:p>
        </w:tc>
        <w:tc>
          <w:tcPr>
            <w:tcW w:w="2160" w:type="dxa"/>
            <w:tcBorders>
              <w:top w:val="nil"/>
              <w:left w:val="nil"/>
              <w:bottom w:val="single" w:sz="18" w:space="0" w:color="auto"/>
              <w:right w:val="nil"/>
            </w:tcBorders>
          </w:tcPr>
          <w:p w14:paraId="13594927" w14:textId="77777777" w:rsidR="009B6560" w:rsidRPr="00E23B7B" w:rsidRDefault="009B6560" w:rsidP="001A08FA">
            <w:pPr>
              <w:jc w:val="center"/>
              <w:rPr>
                <w:b/>
                <w:bCs/>
                <w:sz w:val="18"/>
                <w:szCs w:val="18"/>
              </w:rPr>
            </w:pPr>
            <w:r w:rsidRPr="00E23B7B">
              <w:rPr>
                <w:b/>
                <w:bCs/>
                <w:sz w:val="18"/>
                <w:szCs w:val="18"/>
              </w:rPr>
              <w:t>110</w:t>
            </w:r>
          </w:p>
        </w:tc>
        <w:tc>
          <w:tcPr>
            <w:tcW w:w="2160" w:type="dxa"/>
            <w:tcBorders>
              <w:top w:val="nil"/>
              <w:left w:val="nil"/>
              <w:bottom w:val="single" w:sz="18" w:space="0" w:color="auto"/>
              <w:right w:val="nil"/>
            </w:tcBorders>
          </w:tcPr>
          <w:p w14:paraId="63580DB8" w14:textId="77777777" w:rsidR="009B6560" w:rsidRPr="00E23B7B" w:rsidRDefault="009B6560" w:rsidP="001A08FA">
            <w:pPr>
              <w:jc w:val="center"/>
              <w:rPr>
                <w:b/>
                <w:bCs/>
                <w:sz w:val="18"/>
                <w:szCs w:val="18"/>
              </w:rPr>
            </w:pPr>
            <w:r w:rsidRPr="00E23B7B">
              <w:rPr>
                <w:b/>
                <w:bCs/>
                <w:sz w:val="18"/>
                <w:szCs w:val="18"/>
              </w:rPr>
              <w:t>235</w:t>
            </w:r>
          </w:p>
        </w:tc>
      </w:tr>
    </w:tbl>
    <w:p w14:paraId="31A44DB1" w14:textId="77777777" w:rsidR="009B6560" w:rsidRPr="00E23B7B" w:rsidRDefault="009B6560" w:rsidP="009B6560">
      <w:pPr>
        <w:jc w:val="both"/>
      </w:pPr>
    </w:p>
    <w:p w14:paraId="07453EEB" w14:textId="3C6B8D87" w:rsidR="009B6560" w:rsidRDefault="009B6560" w:rsidP="009B6560">
      <w:pPr>
        <w:ind w:firstLine="720"/>
        <w:jc w:val="both"/>
      </w:pPr>
      <w:bookmarkStart w:id="26" w:name="_Hlk125630191"/>
      <w:r w:rsidRPr="00E23B7B">
        <w:t xml:space="preserve">Following data cleaning, individual </w:t>
      </w:r>
      <w:r w:rsidR="00BF476C">
        <w:t xml:space="preserve">student </w:t>
      </w:r>
      <w:r w:rsidRPr="00E23B7B">
        <w:t xml:space="preserve">survey responses were aggregated to the program level to match </w:t>
      </w:r>
      <w:r w:rsidR="00D343B9">
        <w:t xml:space="preserve">all other data – grade </w:t>
      </w:r>
      <w:r w:rsidRPr="00E23B7B">
        <w:t xml:space="preserve">level, racial majority, socioeconomic status, and sociopolitical context of the attending group, which all exist at the program level. The EE21 outcome score thus represents the mean across all students who attended a specific program. </w:t>
      </w:r>
      <w:bookmarkEnd w:id="26"/>
      <w:r w:rsidRPr="00E23B7B">
        <w:t xml:space="preserve">To test the validity of aggregating to the program level, we calculated the ICC (1) and ICC (2), which were </w:t>
      </w:r>
      <w:r w:rsidR="002345F4">
        <w:t>0.19</w:t>
      </w:r>
      <w:r w:rsidRPr="00E23B7B">
        <w:t xml:space="preserve"> and 0.7</w:t>
      </w:r>
      <w:r w:rsidR="002345F4">
        <w:t>6</w:t>
      </w:r>
      <w:r w:rsidRPr="00E23B7B">
        <w:t xml:space="preserve"> respectively. Th</w:t>
      </w:r>
      <w:r w:rsidR="004678C6">
        <w:t>ese scores</w:t>
      </w:r>
      <w:r w:rsidRPr="00E23B7B">
        <w:t xml:space="preserve"> indicate that most of the variance exists at the group level rather than the individual level and that aggregation is thus valid (</w:t>
      </w:r>
      <w:proofErr w:type="spellStart"/>
      <w:r w:rsidRPr="00E23B7B">
        <w:t>Woehr</w:t>
      </w:r>
      <w:proofErr w:type="spellEnd"/>
      <w:r w:rsidRPr="00E23B7B">
        <w:t xml:space="preserve"> et al., 2015).</w:t>
      </w:r>
      <w:r w:rsidRPr="00A153E9">
        <w:t xml:space="preserve"> </w:t>
      </w:r>
    </w:p>
    <w:p w14:paraId="068B7905" w14:textId="77777777" w:rsidR="009B6560" w:rsidRPr="00C7240F" w:rsidRDefault="009B6560" w:rsidP="009B6560"/>
    <w:p w14:paraId="2FAE5869" w14:textId="77777777" w:rsidR="009B6560" w:rsidRPr="00127270" w:rsidRDefault="009B6560" w:rsidP="009B6560">
      <w:pPr>
        <w:pStyle w:val="Heading3"/>
        <w:spacing w:before="0"/>
        <w:rPr>
          <w:rFonts w:ascii="Times New Roman" w:hAnsi="Times New Roman" w:cs="Times New Roman"/>
          <w:b/>
          <w:bCs/>
          <w:i/>
          <w:iCs/>
          <w:color w:val="auto"/>
        </w:rPr>
      </w:pPr>
      <w:bookmarkStart w:id="27" w:name="_Toc101646954"/>
      <w:r w:rsidRPr="00127270">
        <w:rPr>
          <w:rFonts w:ascii="Times New Roman" w:hAnsi="Times New Roman" w:cs="Times New Roman"/>
          <w:b/>
          <w:bCs/>
          <w:i/>
          <w:iCs/>
          <w:color w:val="auto"/>
        </w:rPr>
        <w:t>Analyses</w:t>
      </w:r>
      <w:bookmarkEnd w:id="27"/>
    </w:p>
    <w:p w14:paraId="7D691DF0" w14:textId="682EBA5C" w:rsidR="009B6560" w:rsidRDefault="009B6560" w:rsidP="00677873">
      <w:pPr>
        <w:ind w:firstLine="720"/>
        <w:jc w:val="both"/>
      </w:pPr>
      <w:r>
        <w:rPr>
          <w:bCs/>
        </w:rPr>
        <w:t>We conducted two analyses to explore if outcomes differ</w:t>
      </w:r>
      <w:r w:rsidR="004678C6">
        <w:rPr>
          <w:bCs/>
        </w:rPr>
        <w:t>ed</w:t>
      </w:r>
      <w:r>
        <w:rPr>
          <w:bCs/>
        </w:rPr>
        <w:t xml:space="preserve"> for students from different sociopolitical contexts. We first</w:t>
      </w:r>
      <w:r w:rsidRPr="008C1F3D">
        <w:rPr>
          <w:bCs/>
        </w:rPr>
        <w:t xml:space="preserve"> compare</w:t>
      </w:r>
      <w:r>
        <w:rPr>
          <w:bCs/>
        </w:rPr>
        <w:t>d</w:t>
      </w:r>
      <w:r w:rsidRPr="008C1F3D">
        <w:rPr>
          <w:bCs/>
        </w:rPr>
        <w:t xml:space="preserve"> mean</w:t>
      </w:r>
      <w:r>
        <w:rPr>
          <w:bCs/>
        </w:rPr>
        <w:t xml:space="preserve"> EE21 o</w:t>
      </w:r>
      <w:r w:rsidRPr="008C1F3D">
        <w:rPr>
          <w:bCs/>
        </w:rPr>
        <w:t xml:space="preserve">utcomes for each </w:t>
      </w:r>
      <w:r>
        <w:rPr>
          <w:bCs/>
        </w:rPr>
        <w:t xml:space="preserve">sociopolitical context independent of socioeconomic context using </w:t>
      </w:r>
      <w:r w:rsidRPr="008C1F3D">
        <w:rPr>
          <w:bCs/>
        </w:rPr>
        <w:t>a one-way ANOVA with post hoc analyses</w:t>
      </w:r>
      <w:r>
        <w:rPr>
          <w:bCs/>
        </w:rPr>
        <w:t xml:space="preserve"> </w:t>
      </w:r>
      <w:r>
        <w:t>while controlling for grade and race</w:t>
      </w:r>
      <w:r w:rsidRPr="008C1F3D">
        <w:rPr>
          <w:bCs/>
        </w:rPr>
        <w:t xml:space="preserve">. </w:t>
      </w:r>
      <w:r>
        <w:rPr>
          <w:bCs/>
        </w:rPr>
        <w:t>We then</w:t>
      </w:r>
      <w:r>
        <w:t xml:space="preserve"> combine</w:t>
      </w:r>
      <w:r w:rsidR="00677873">
        <w:t>d</w:t>
      </w:r>
      <w:r>
        <w:t xml:space="preserve"> sociopolitical context and socioeconomic status to divide the sample into six categories with poorer and wealthier subgroups of each sociopolitical context and re-ran the analys</w:t>
      </w:r>
      <w:r w:rsidR="00B5136C">
        <w:t>e</w:t>
      </w:r>
      <w:r>
        <w:t xml:space="preserve">s, again controlling for grade and race. </w:t>
      </w:r>
    </w:p>
    <w:p w14:paraId="1C8856AF" w14:textId="77777777" w:rsidR="008F4050" w:rsidRPr="00EA10DA" w:rsidRDefault="008F4050" w:rsidP="00345181">
      <w:pPr>
        <w:ind w:firstLine="720"/>
        <w:jc w:val="both"/>
      </w:pPr>
    </w:p>
    <w:p w14:paraId="7086C47A" w14:textId="32CFBFF7" w:rsidR="00B5136C" w:rsidRPr="00B5136C" w:rsidRDefault="00345181" w:rsidP="00B5136C">
      <w:pPr>
        <w:pStyle w:val="Heading2"/>
        <w:spacing w:before="0"/>
        <w:rPr>
          <w:rFonts w:ascii="Times New Roman" w:hAnsi="Times New Roman" w:cs="Times New Roman"/>
          <w:b/>
          <w:bCs/>
          <w:color w:val="auto"/>
        </w:rPr>
      </w:pPr>
      <w:bookmarkStart w:id="28" w:name="_Toc101646955"/>
      <w:r w:rsidRPr="002346DB">
        <w:rPr>
          <w:rFonts w:ascii="Times New Roman" w:hAnsi="Times New Roman" w:cs="Times New Roman"/>
          <w:b/>
          <w:bCs/>
          <w:color w:val="auto"/>
        </w:rPr>
        <w:t>Results</w:t>
      </w:r>
      <w:bookmarkEnd w:id="28"/>
    </w:p>
    <w:p w14:paraId="726674AE" w14:textId="518EA6D0" w:rsidR="00345181" w:rsidRPr="00127270" w:rsidRDefault="00345181" w:rsidP="00345181">
      <w:pPr>
        <w:pStyle w:val="Heading3"/>
        <w:spacing w:before="0"/>
        <w:rPr>
          <w:rFonts w:ascii="Times New Roman" w:hAnsi="Times New Roman" w:cs="Times New Roman"/>
          <w:b/>
          <w:bCs/>
          <w:color w:val="auto"/>
        </w:rPr>
      </w:pPr>
      <w:bookmarkStart w:id="29" w:name="_Toc101646956"/>
      <w:r w:rsidRPr="00127270">
        <w:rPr>
          <w:rFonts w:ascii="Times New Roman" w:hAnsi="Times New Roman" w:cs="Times New Roman"/>
          <w:b/>
          <w:bCs/>
          <w:i/>
          <w:iCs/>
          <w:color w:val="auto"/>
        </w:rPr>
        <w:t xml:space="preserve">Sample </w:t>
      </w:r>
      <w:bookmarkEnd w:id="29"/>
      <w:r w:rsidR="00971043">
        <w:rPr>
          <w:rFonts w:ascii="Times New Roman" w:hAnsi="Times New Roman" w:cs="Times New Roman"/>
          <w:b/>
          <w:bCs/>
          <w:i/>
          <w:iCs/>
          <w:color w:val="auto"/>
        </w:rPr>
        <w:t>characteristics</w:t>
      </w:r>
    </w:p>
    <w:p w14:paraId="5F972834" w14:textId="5C28071A" w:rsidR="00345181" w:rsidRDefault="00345181" w:rsidP="00140E6F">
      <w:pPr>
        <w:ind w:firstLine="720"/>
        <w:jc w:val="both"/>
      </w:pPr>
      <w:bookmarkStart w:id="30" w:name="_Hlk125630405"/>
      <w:r>
        <w:t xml:space="preserve">Table </w:t>
      </w:r>
      <w:r w:rsidR="00C437CB">
        <w:t>3</w:t>
      </w:r>
      <w:r>
        <w:t xml:space="preserve"> reports sample frequencies for programs, providers, schools, and states by sociopolitical </w:t>
      </w:r>
      <w:r w:rsidRPr="003F155C">
        <w:t xml:space="preserve">context. </w:t>
      </w:r>
      <w:r>
        <w:t>Examining the distribution of</w:t>
      </w:r>
      <w:r w:rsidR="006418C0">
        <w:t xml:space="preserve"> </w:t>
      </w:r>
      <w:r>
        <w:t>programs across sociopolitical contexts using the 10-point landslide, 46% of programs served students from Democrat-leaning contexts, 34% from Republican-leaning contexts, and 20% from mixed contexts. Using the 20-point landslide, 40% of programs served students from strongly Democratic contexts, 25% from strongly Republican contexts, and 35% from mixed contexts.</w:t>
      </w:r>
      <w:r w:rsidR="009B6560">
        <w:t xml:space="preserve"> Across all</w:t>
      </w:r>
      <w:r w:rsidR="009B6560" w:rsidRPr="00E423EA">
        <w:t xml:space="preserve"> 235 programs, the </w:t>
      </w:r>
      <w:r w:rsidR="009B6560" w:rsidRPr="00E423EA">
        <w:rPr>
          <w:i/>
          <w:iCs/>
        </w:rPr>
        <w:t xml:space="preserve">average percent </w:t>
      </w:r>
      <w:r w:rsidR="009B6560" w:rsidRPr="00E423EA">
        <w:rPr>
          <w:i/>
          <w:iCs/>
        </w:rPr>
        <w:lastRenderedPageBreak/>
        <w:t>Republican</w:t>
      </w:r>
      <w:r w:rsidR="009B6560" w:rsidRPr="00E423EA">
        <w:t xml:space="preserve"> ranged from 9.3% to 78.2% with a mean of 46.1%, equal to the national Republican percentage of the two-party vote in the 2016 presidential election (The New York Times, 2017). </w:t>
      </w:r>
      <w:bookmarkEnd w:id="30"/>
      <w:r w:rsidR="009B6560" w:rsidRPr="00E423EA">
        <w:t>Free and reduced-price lunch statistics were available for 231 of the visiting school groups</w:t>
      </w:r>
      <w:r w:rsidR="009B6560">
        <w:t xml:space="preserve"> and the proportion of eligible students </w:t>
      </w:r>
      <w:r w:rsidR="009B6560" w:rsidRPr="00E423EA">
        <w:t>ranged from 7% to 96.2% with a mean of 57.5%</w:t>
      </w:r>
      <w:r w:rsidR="009B6560">
        <w:t>,</w:t>
      </w:r>
      <w:r w:rsidR="009B6560" w:rsidRPr="00E423EA">
        <w:t xml:space="preserve"> similar to the national average </w:t>
      </w:r>
      <w:r w:rsidR="009B6560">
        <w:t>of 58% in</w:t>
      </w:r>
      <w:r w:rsidR="009B6560" w:rsidRPr="00E423EA">
        <w:t xml:space="preserve"> 2018</w:t>
      </w:r>
      <w:r w:rsidR="009B6560">
        <w:t xml:space="preserve"> </w:t>
      </w:r>
      <w:r w:rsidR="009B6560" w:rsidRPr="009B6560">
        <w:t>(Bauman &amp; Cranney</w:t>
      </w:r>
      <w:r w:rsidR="00956A10">
        <w:t>,</w:t>
      </w:r>
      <w:r w:rsidR="009B6560" w:rsidRPr="009B6560">
        <w:t xml:space="preserve"> 2020; USDA Food and Nutrition Service, 2020). </w:t>
      </w:r>
      <w:r w:rsidR="009B6560" w:rsidRPr="009B6560">
        <w:rPr>
          <w:rStyle w:val="FootnoteReference"/>
        </w:rPr>
        <w:footnoteReference w:id="3"/>
      </w:r>
    </w:p>
    <w:p w14:paraId="059955BB" w14:textId="77777777" w:rsidR="00316604" w:rsidRPr="00EA10DA" w:rsidRDefault="00316604" w:rsidP="00345181">
      <w:pPr>
        <w:ind w:firstLine="720"/>
        <w:jc w:val="both"/>
      </w:pPr>
    </w:p>
    <w:p w14:paraId="44EE296F" w14:textId="11B49AF1" w:rsidR="00345181" w:rsidRPr="003F155C" w:rsidRDefault="00345181" w:rsidP="00345181">
      <w:pPr>
        <w:rPr>
          <w:i/>
          <w:iCs/>
          <w:sz w:val="22"/>
          <w:szCs w:val="22"/>
        </w:rPr>
      </w:pPr>
      <w:bookmarkStart w:id="31" w:name="_Hlk125630432"/>
      <w:r w:rsidRPr="003F155C">
        <w:rPr>
          <w:i/>
          <w:iCs/>
          <w:sz w:val="22"/>
          <w:szCs w:val="22"/>
        </w:rPr>
        <w:t xml:space="preserve">Table </w:t>
      </w:r>
      <w:r w:rsidR="00C437CB">
        <w:rPr>
          <w:i/>
          <w:iCs/>
          <w:sz w:val="22"/>
          <w:szCs w:val="22"/>
        </w:rPr>
        <w:t>3</w:t>
      </w:r>
      <w:r w:rsidRPr="003F155C">
        <w:rPr>
          <w:i/>
          <w:iCs/>
          <w:sz w:val="22"/>
          <w:szCs w:val="22"/>
        </w:rPr>
        <w:t>. Sample frequencies by sociopolitical context.</w:t>
      </w:r>
    </w:p>
    <w:tbl>
      <w:tblPr>
        <w:tblW w:w="9360" w:type="dxa"/>
        <w:tblLayout w:type="fixed"/>
        <w:tblLook w:val="04A0" w:firstRow="1" w:lastRow="0" w:firstColumn="1" w:lastColumn="0" w:noHBand="0" w:noVBand="1"/>
      </w:tblPr>
      <w:tblGrid>
        <w:gridCol w:w="1077"/>
        <w:gridCol w:w="1380"/>
        <w:gridCol w:w="1381"/>
        <w:gridCol w:w="1380"/>
        <w:gridCol w:w="1381"/>
        <w:gridCol w:w="1380"/>
        <w:gridCol w:w="1381"/>
      </w:tblGrid>
      <w:tr w:rsidR="00345181" w:rsidRPr="003F155C" w14:paraId="1403EC01" w14:textId="77777777" w:rsidTr="007810B8">
        <w:trPr>
          <w:trHeight w:val="20"/>
        </w:trPr>
        <w:tc>
          <w:tcPr>
            <w:tcW w:w="1077" w:type="dxa"/>
            <w:tcBorders>
              <w:top w:val="single" w:sz="18" w:space="0" w:color="auto"/>
              <w:left w:val="nil"/>
              <w:bottom w:val="single" w:sz="4" w:space="0" w:color="auto"/>
              <w:right w:val="nil"/>
            </w:tcBorders>
            <w:shd w:val="clear" w:color="auto" w:fill="auto"/>
            <w:noWrap/>
            <w:vAlign w:val="center"/>
          </w:tcPr>
          <w:p w14:paraId="7FB8594B" w14:textId="77777777" w:rsidR="00345181" w:rsidRPr="003F155C" w:rsidRDefault="00345181" w:rsidP="00345181">
            <w:pPr>
              <w:jc w:val="center"/>
              <w:rPr>
                <w:b/>
                <w:bCs/>
                <w:color w:val="000000"/>
                <w:sz w:val="18"/>
                <w:szCs w:val="18"/>
              </w:rPr>
            </w:pPr>
          </w:p>
        </w:tc>
        <w:tc>
          <w:tcPr>
            <w:tcW w:w="4141" w:type="dxa"/>
            <w:gridSpan w:val="3"/>
            <w:tcBorders>
              <w:top w:val="single" w:sz="18" w:space="0" w:color="auto"/>
              <w:left w:val="nil"/>
              <w:bottom w:val="single" w:sz="4" w:space="0" w:color="auto"/>
              <w:right w:val="single" w:sz="8" w:space="0" w:color="auto"/>
            </w:tcBorders>
            <w:shd w:val="clear" w:color="auto" w:fill="auto"/>
            <w:vAlign w:val="center"/>
          </w:tcPr>
          <w:p w14:paraId="5E468782" w14:textId="77777777" w:rsidR="00345181" w:rsidRPr="003F155C" w:rsidRDefault="00345181" w:rsidP="00345181">
            <w:pPr>
              <w:jc w:val="center"/>
              <w:rPr>
                <w:b/>
                <w:bCs/>
                <w:color w:val="000000"/>
                <w:sz w:val="18"/>
                <w:szCs w:val="18"/>
              </w:rPr>
            </w:pPr>
            <w:r w:rsidRPr="003F155C">
              <w:rPr>
                <w:b/>
                <w:bCs/>
                <w:color w:val="000000"/>
                <w:sz w:val="18"/>
                <w:szCs w:val="18"/>
              </w:rPr>
              <w:t>10-point landslide</w:t>
            </w:r>
          </w:p>
        </w:tc>
        <w:tc>
          <w:tcPr>
            <w:tcW w:w="4142" w:type="dxa"/>
            <w:gridSpan w:val="3"/>
            <w:tcBorders>
              <w:top w:val="single" w:sz="18" w:space="0" w:color="auto"/>
              <w:left w:val="single" w:sz="8" w:space="0" w:color="auto"/>
              <w:bottom w:val="single" w:sz="4" w:space="0" w:color="auto"/>
              <w:right w:val="nil"/>
            </w:tcBorders>
            <w:vAlign w:val="center"/>
          </w:tcPr>
          <w:p w14:paraId="52C96A68" w14:textId="77777777" w:rsidR="00345181" w:rsidRPr="003F155C" w:rsidRDefault="00345181" w:rsidP="00345181">
            <w:pPr>
              <w:jc w:val="center"/>
              <w:rPr>
                <w:b/>
                <w:bCs/>
                <w:color w:val="000000"/>
                <w:sz w:val="18"/>
                <w:szCs w:val="18"/>
              </w:rPr>
            </w:pPr>
            <w:r w:rsidRPr="003F155C">
              <w:rPr>
                <w:b/>
                <w:bCs/>
                <w:color w:val="000000"/>
                <w:sz w:val="18"/>
                <w:szCs w:val="18"/>
              </w:rPr>
              <w:t>20-point landslide</w:t>
            </w:r>
          </w:p>
        </w:tc>
      </w:tr>
      <w:tr w:rsidR="00345181" w:rsidRPr="003F155C" w14:paraId="0DD8B4CE" w14:textId="77777777" w:rsidTr="007810B8">
        <w:trPr>
          <w:trHeight w:val="20"/>
        </w:trPr>
        <w:tc>
          <w:tcPr>
            <w:tcW w:w="1077" w:type="dxa"/>
            <w:tcBorders>
              <w:top w:val="single" w:sz="8" w:space="0" w:color="auto"/>
              <w:left w:val="nil"/>
              <w:bottom w:val="single" w:sz="4" w:space="0" w:color="auto"/>
              <w:right w:val="nil"/>
            </w:tcBorders>
            <w:shd w:val="clear" w:color="auto" w:fill="auto"/>
            <w:noWrap/>
            <w:vAlign w:val="center"/>
            <w:hideMark/>
          </w:tcPr>
          <w:p w14:paraId="75819C21" w14:textId="77777777" w:rsidR="00345181" w:rsidRPr="003F155C" w:rsidRDefault="00345181" w:rsidP="00345181">
            <w:pPr>
              <w:jc w:val="center"/>
              <w:rPr>
                <w:b/>
                <w:bCs/>
                <w:color w:val="000000"/>
                <w:sz w:val="18"/>
                <w:szCs w:val="18"/>
              </w:rPr>
            </w:pPr>
          </w:p>
        </w:tc>
        <w:tc>
          <w:tcPr>
            <w:tcW w:w="1380" w:type="dxa"/>
            <w:tcBorders>
              <w:top w:val="single" w:sz="8" w:space="0" w:color="auto"/>
              <w:left w:val="nil"/>
              <w:bottom w:val="single" w:sz="4" w:space="0" w:color="auto"/>
              <w:right w:val="nil"/>
            </w:tcBorders>
            <w:shd w:val="clear" w:color="auto" w:fill="auto"/>
            <w:vAlign w:val="center"/>
            <w:hideMark/>
          </w:tcPr>
          <w:p w14:paraId="084F9FEB" w14:textId="77777777" w:rsidR="00345181" w:rsidRPr="003F155C" w:rsidRDefault="00345181" w:rsidP="00345181">
            <w:pPr>
              <w:jc w:val="center"/>
              <w:rPr>
                <w:color w:val="000000"/>
                <w:sz w:val="18"/>
                <w:szCs w:val="18"/>
              </w:rPr>
            </w:pPr>
            <w:r w:rsidRPr="003F155C">
              <w:rPr>
                <w:color w:val="000000"/>
                <w:sz w:val="18"/>
                <w:szCs w:val="18"/>
              </w:rPr>
              <w:t>Democrat-leaning</w:t>
            </w:r>
          </w:p>
        </w:tc>
        <w:tc>
          <w:tcPr>
            <w:tcW w:w="1381" w:type="dxa"/>
            <w:tcBorders>
              <w:top w:val="single" w:sz="8" w:space="0" w:color="auto"/>
              <w:left w:val="nil"/>
              <w:bottom w:val="single" w:sz="4" w:space="0" w:color="auto"/>
              <w:right w:val="nil"/>
            </w:tcBorders>
            <w:shd w:val="clear" w:color="auto" w:fill="auto"/>
            <w:vAlign w:val="center"/>
            <w:hideMark/>
          </w:tcPr>
          <w:p w14:paraId="71B6ACA5" w14:textId="77777777" w:rsidR="00345181" w:rsidRPr="003F155C" w:rsidRDefault="00345181" w:rsidP="00345181">
            <w:pPr>
              <w:jc w:val="center"/>
              <w:rPr>
                <w:color w:val="000000"/>
                <w:sz w:val="18"/>
                <w:szCs w:val="18"/>
              </w:rPr>
            </w:pPr>
            <w:r>
              <w:rPr>
                <w:color w:val="000000"/>
                <w:sz w:val="18"/>
                <w:szCs w:val="18"/>
              </w:rPr>
              <w:t>M</w:t>
            </w:r>
            <w:r w:rsidRPr="003F155C">
              <w:rPr>
                <w:color w:val="000000"/>
                <w:sz w:val="18"/>
                <w:szCs w:val="18"/>
              </w:rPr>
              <w:t>ixed</w:t>
            </w:r>
          </w:p>
        </w:tc>
        <w:tc>
          <w:tcPr>
            <w:tcW w:w="1380" w:type="dxa"/>
            <w:tcBorders>
              <w:top w:val="single" w:sz="8" w:space="0" w:color="auto"/>
              <w:left w:val="nil"/>
              <w:bottom w:val="single" w:sz="4" w:space="0" w:color="auto"/>
              <w:right w:val="single" w:sz="8" w:space="0" w:color="auto"/>
            </w:tcBorders>
            <w:shd w:val="clear" w:color="auto" w:fill="auto"/>
            <w:vAlign w:val="center"/>
            <w:hideMark/>
          </w:tcPr>
          <w:p w14:paraId="080A3194" w14:textId="77777777" w:rsidR="00345181" w:rsidRPr="003F155C" w:rsidRDefault="00345181" w:rsidP="00345181">
            <w:pPr>
              <w:jc w:val="center"/>
              <w:rPr>
                <w:color w:val="000000"/>
                <w:sz w:val="18"/>
                <w:szCs w:val="18"/>
              </w:rPr>
            </w:pPr>
            <w:r w:rsidRPr="003F155C">
              <w:rPr>
                <w:color w:val="000000"/>
                <w:sz w:val="18"/>
                <w:szCs w:val="18"/>
              </w:rPr>
              <w:t>Republican-leaning</w:t>
            </w:r>
          </w:p>
        </w:tc>
        <w:tc>
          <w:tcPr>
            <w:tcW w:w="1381" w:type="dxa"/>
            <w:tcBorders>
              <w:top w:val="single" w:sz="8" w:space="0" w:color="auto"/>
              <w:left w:val="single" w:sz="8" w:space="0" w:color="auto"/>
              <w:bottom w:val="single" w:sz="4" w:space="0" w:color="auto"/>
              <w:right w:val="nil"/>
            </w:tcBorders>
            <w:vAlign w:val="center"/>
          </w:tcPr>
          <w:p w14:paraId="0A1CA328" w14:textId="77777777" w:rsidR="00345181" w:rsidRPr="003F155C" w:rsidRDefault="00345181" w:rsidP="00345181">
            <w:pPr>
              <w:jc w:val="center"/>
              <w:rPr>
                <w:color w:val="000000"/>
                <w:sz w:val="18"/>
                <w:szCs w:val="18"/>
              </w:rPr>
            </w:pPr>
            <w:r>
              <w:rPr>
                <w:color w:val="000000"/>
                <w:sz w:val="18"/>
                <w:szCs w:val="18"/>
              </w:rPr>
              <w:t xml:space="preserve">Strongly </w:t>
            </w:r>
            <w:r w:rsidRPr="003F155C">
              <w:rPr>
                <w:color w:val="000000"/>
                <w:sz w:val="18"/>
                <w:szCs w:val="18"/>
              </w:rPr>
              <w:t>Democrat</w:t>
            </w:r>
            <w:r>
              <w:rPr>
                <w:color w:val="000000"/>
                <w:sz w:val="18"/>
                <w:szCs w:val="18"/>
              </w:rPr>
              <w:t>ic</w:t>
            </w:r>
          </w:p>
        </w:tc>
        <w:tc>
          <w:tcPr>
            <w:tcW w:w="1380" w:type="dxa"/>
            <w:tcBorders>
              <w:top w:val="single" w:sz="8" w:space="0" w:color="auto"/>
              <w:left w:val="nil"/>
              <w:bottom w:val="single" w:sz="4" w:space="0" w:color="auto"/>
              <w:right w:val="nil"/>
            </w:tcBorders>
            <w:vAlign w:val="center"/>
          </w:tcPr>
          <w:p w14:paraId="07ABE557" w14:textId="77777777" w:rsidR="00345181" w:rsidRPr="003F155C" w:rsidRDefault="00345181" w:rsidP="00345181">
            <w:pPr>
              <w:jc w:val="center"/>
              <w:rPr>
                <w:color w:val="000000"/>
                <w:sz w:val="18"/>
                <w:szCs w:val="18"/>
              </w:rPr>
            </w:pPr>
            <w:r>
              <w:rPr>
                <w:color w:val="000000"/>
                <w:sz w:val="18"/>
                <w:szCs w:val="18"/>
              </w:rPr>
              <w:t>M</w:t>
            </w:r>
            <w:r w:rsidRPr="003F155C">
              <w:rPr>
                <w:color w:val="000000"/>
                <w:sz w:val="18"/>
                <w:szCs w:val="18"/>
              </w:rPr>
              <w:t>ixed</w:t>
            </w:r>
          </w:p>
        </w:tc>
        <w:tc>
          <w:tcPr>
            <w:tcW w:w="1381" w:type="dxa"/>
            <w:tcBorders>
              <w:top w:val="single" w:sz="8" w:space="0" w:color="auto"/>
              <w:left w:val="nil"/>
              <w:bottom w:val="single" w:sz="4" w:space="0" w:color="auto"/>
              <w:right w:val="nil"/>
            </w:tcBorders>
            <w:vAlign w:val="center"/>
          </w:tcPr>
          <w:p w14:paraId="6889E9BC" w14:textId="77777777" w:rsidR="00345181" w:rsidRPr="003F155C" w:rsidRDefault="00345181" w:rsidP="00345181">
            <w:pPr>
              <w:jc w:val="center"/>
              <w:rPr>
                <w:color w:val="000000"/>
                <w:sz w:val="18"/>
                <w:szCs w:val="18"/>
              </w:rPr>
            </w:pPr>
            <w:r>
              <w:rPr>
                <w:color w:val="000000"/>
                <w:sz w:val="18"/>
                <w:szCs w:val="18"/>
              </w:rPr>
              <w:t xml:space="preserve">Strongly </w:t>
            </w:r>
            <w:r w:rsidRPr="003F155C">
              <w:rPr>
                <w:color w:val="000000"/>
                <w:sz w:val="18"/>
                <w:szCs w:val="18"/>
              </w:rPr>
              <w:t>Republican</w:t>
            </w:r>
          </w:p>
        </w:tc>
      </w:tr>
      <w:tr w:rsidR="00345181" w:rsidRPr="003F155C" w14:paraId="76B47918" w14:textId="77777777" w:rsidTr="007810B8">
        <w:trPr>
          <w:trHeight w:val="20"/>
        </w:trPr>
        <w:tc>
          <w:tcPr>
            <w:tcW w:w="1077" w:type="dxa"/>
            <w:tcBorders>
              <w:top w:val="nil"/>
              <w:left w:val="nil"/>
              <w:bottom w:val="nil"/>
              <w:right w:val="nil"/>
            </w:tcBorders>
            <w:shd w:val="clear" w:color="auto" w:fill="auto"/>
            <w:noWrap/>
            <w:vAlign w:val="center"/>
            <w:hideMark/>
          </w:tcPr>
          <w:p w14:paraId="4D9CFEB4" w14:textId="77777777" w:rsidR="00345181" w:rsidRPr="003F155C" w:rsidRDefault="00345181" w:rsidP="00345181">
            <w:pPr>
              <w:jc w:val="center"/>
              <w:rPr>
                <w:color w:val="000000"/>
                <w:sz w:val="18"/>
                <w:szCs w:val="18"/>
              </w:rPr>
            </w:pPr>
            <w:r w:rsidRPr="003F155C">
              <w:rPr>
                <w:color w:val="000000"/>
                <w:sz w:val="18"/>
                <w:szCs w:val="18"/>
              </w:rPr>
              <w:t># Programs (235)</w:t>
            </w:r>
          </w:p>
        </w:tc>
        <w:tc>
          <w:tcPr>
            <w:tcW w:w="1380" w:type="dxa"/>
            <w:tcBorders>
              <w:top w:val="nil"/>
              <w:left w:val="nil"/>
              <w:bottom w:val="nil"/>
              <w:right w:val="nil"/>
            </w:tcBorders>
            <w:shd w:val="clear" w:color="auto" w:fill="auto"/>
            <w:noWrap/>
            <w:vAlign w:val="center"/>
            <w:hideMark/>
          </w:tcPr>
          <w:p w14:paraId="1AE41E41" w14:textId="613898DC" w:rsidR="00345181" w:rsidRPr="003F155C" w:rsidRDefault="00345181" w:rsidP="007810B8">
            <w:pPr>
              <w:jc w:val="center"/>
              <w:rPr>
                <w:color w:val="000000"/>
                <w:sz w:val="18"/>
                <w:szCs w:val="18"/>
              </w:rPr>
            </w:pPr>
            <w:r w:rsidRPr="003F155C">
              <w:rPr>
                <w:color w:val="000000"/>
                <w:sz w:val="18"/>
                <w:szCs w:val="18"/>
              </w:rPr>
              <w:t>108</w:t>
            </w:r>
            <w:r w:rsidR="007810B8">
              <w:rPr>
                <w:color w:val="000000"/>
                <w:sz w:val="18"/>
                <w:szCs w:val="18"/>
              </w:rPr>
              <w:t xml:space="preserve"> </w:t>
            </w:r>
          </w:p>
        </w:tc>
        <w:tc>
          <w:tcPr>
            <w:tcW w:w="1381" w:type="dxa"/>
            <w:tcBorders>
              <w:top w:val="nil"/>
              <w:left w:val="nil"/>
              <w:bottom w:val="nil"/>
              <w:right w:val="nil"/>
            </w:tcBorders>
            <w:shd w:val="clear" w:color="auto" w:fill="auto"/>
            <w:noWrap/>
            <w:vAlign w:val="center"/>
            <w:hideMark/>
          </w:tcPr>
          <w:p w14:paraId="3C695571" w14:textId="77777777" w:rsidR="00345181" w:rsidRPr="003F155C" w:rsidRDefault="00345181" w:rsidP="00345181">
            <w:pPr>
              <w:jc w:val="center"/>
              <w:rPr>
                <w:color w:val="000000"/>
                <w:sz w:val="18"/>
                <w:szCs w:val="18"/>
              </w:rPr>
            </w:pPr>
            <w:r w:rsidRPr="003F155C">
              <w:rPr>
                <w:color w:val="000000"/>
                <w:sz w:val="18"/>
                <w:szCs w:val="18"/>
              </w:rPr>
              <w:t>48</w:t>
            </w:r>
          </w:p>
        </w:tc>
        <w:tc>
          <w:tcPr>
            <w:tcW w:w="1380" w:type="dxa"/>
            <w:tcBorders>
              <w:top w:val="nil"/>
              <w:left w:val="nil"/>
              <w:bottom w:val="nil"/>
              <w:right w:val="single" w:sz="8" w:space="0" w:color="auto"/>
            </w:tcBorders>
            <w:shd w:val="clear" w:color="auto" w:fill="auto"/>
            <w:noWrap/>
            <w:vAlign w:val="center"/>
            <w:hideMark/>
          </w:tcPr>
          <w:p w14:paraId="2FFFA1E0" w14:textId="77777777" w:rsidR="00345181" w:rsidRPr="003F155C" w:rsidRDefault="00345181" w:rsidP="00345181">
            <w:pPr>
              <w:jc w:val="center"/>
              <w:rPr>
                <w:color w:val="000000"/>
                <w:sz w:val="18"/>
                <w:szCs w:val="18"/>
              </w:rPr>
            </w:pPr>
            <w:r w:rsidRPr="003F155C">
              <w:rPr>
                <w:color w:val="000000"/>
                <w:sz w:val="18"/>
                <w:szCs w:val="18"/>
              </w:rPr>
              <w:t>79</w:t>
            </w:r>
          </w:p>
        </w:tc>
        <w:tc>
          <w:tcPr>
            <w:tcW w:w="1381" w:type="dxa"/>
            <w:tcBorders>
              <w:top w:val="nil"/>
              <w:left w:val="single" w:sz="8" w:space="0" w:color="auto"/>
              <w:bottom w:val="nil"/>
              <w:right w:val="nil"/>
            </w:tcBorders>
            <w:vAlign w:val="center"/>
          </w:tcPr>
          <w:p w14:paraId="7CF1CF56" w14:textId="77777777" w:rsidR="00345181" w:rsidRPr="003F155C" w:rsidRDefault="00345181" w:rsidP="00345181">
            <w:pPr>
              <w:jc w:val="center"/>
              <w:rPr>
                <w:color w:val="000000"/>
                <w:sz w:val="18"/>
                <w:szCs w:val="18"/>
              </w:rPr>
            </w:pPr>
            <w:r w:rsidRPr="003F155C">
              <w:rPr>
                <w:color w:val="000000"/>
                <w:sz w:val="18"/>
                <w:szCs w:val="18"/>
              </w:rPr>
              <w:t>95</w:t>
            </w:r>
          </w:p>
        </w:tc>
        <w:tc>
          <w:tcPr>
            <w:tcW w:w="1380" w:type="dxa"/>
            <w:tcBorders>
              <w:top w:val="nil"/>
              <w:left w:val="nil"/>
              <w:bottom w:val="nil"/>
              <w:right w:val="nil"/>
            </w:tcBorders>
            <w:vAlign w:val="center"/>
          </w:tcPr>
          <w:p w14:paraId="63AC0296" w14:textId="77777777" w:rsidR="00345181" w:rsidRPr="003F155C" w:rsidRDefault="00345181" w:rsidP="00345181">
            <w:pPr>
              <w:jc w:val="center"/>
              <w:rPr>
                <w:color w:val="000000"/>
                <w:sz w:val="18"/>
                <w:szCs w:val="18"/>
              </w:rPr>
            </w:pPr>
            <w:r w:rsidRPr="003F155C">
              <w:rPr>
                <w:color w:val="000000"/>
                <w:sz w:val="18"/>
                <w:szCs w:val="18"/>
              </w:rPr>
              <w:t>82</w:t>
            </w:r>
          </w:p>
        </w:tc>
        <w:tc>
          <w:tcPr>
            <w:tcW w:w="1381" w:type="dxa"/>
            <w:tcBorders>
              <w:top w:val="nil"/>
              <w:left w:val="nil"/>
              <w:bottom w:val="nil"/>
              <w:right w:val="nil"/>
            </w:tcBorders>
            <w:vAlign w:val="center"/>
          </w:tcPr>
          <w:p w14:paraId="58EC2782" w14:textId="77777777" w:rsidR="00345181" w:rsidRPr="003F155C" w:rsidRDefault="00345181" w:rsidP="00345181">
            <w:pPr>
              <w:jc w:val="center"/>
              <w:rPr>
                <w:color w:val="000000"/>
                <w:sz w:val="18"/>
                <w:szCs w:val="18"/>
              </w:rPr>
            </w:pPr>
            <w:r w:rsidRPr="003F155C">
              <w:rPr>
                <w:color w:val="000000"/>
                <w:sz w:val="18"/>
                <w:szCs w:val="18"/>
              </w:rPr>
              <w:t>58</w:t>
            </w:r>
          </w:p>
        </w:tc>
      </w:tr>
      <w:tr w:rsidR="00345181" w:rsidRPr="003F155C" w14:paraId="17DBEC13" w14:textId="77777777" w:rsidTr="007810B8">
        <w:trPr>
          <w:trHeight w:val="20"/>
        </w:trPr>
        <w:tc>
          <w:tcPr>
            <w:tcW w:w="1077" w:type="dxa"/>
            <w:tcBorders>
              <w:top w:val="nil"/>
              <w:left w:val="nil"/>
              <w:bottom w:val="nil"/>
              <w:right w:val="nil"/>
            </w:tcBorders>
            <w:shd w:val="clear" w:color="auto" w:fill="auto"/>
            <w:noWrap/>
            <w:vAlign w:val="center"/>
            <w:hideMark/>
          </w:tcPr>
          <w:p w14:paraId="049689E1" w14:textId="77777777" w:rsidR="00345181" w:rsidRPr="003F155C" w:rsidRDefault="00345181" w:rsidP="00345181">
            <w:pPr>
              <w:jc w:val="center"/>
              <w:rPr>
                <w:color w:val="000000"/>
                <w:sz w:val="18"/>
                <w:szCs w:val="18"/>
              </w:rPr>
            </w:pPr>
            <w:r w:rsidRPr="003F155C">
              <w:rPr>
                <w:color w:val="000000"/>
                <w:sz w:val="18"/>
                <w:szCs w:val="18"/>
              </w:rPr>
              <w:t># Providers (</w:t>
            </w:r>
            <w:r>
              <w:rPr>
                <w:color w:val="000000"/>
                <w:sz w:val="18"/>
                <w:szCs w:val="18"/>
              </w:rPr>
              <w:t>65</w:t>
            </w:r>
            <w:r w:rsidRPr="003F155C">
              <w:rPr>
                <w:color w:val="000000"/>
                <w:sz w:val="18"/>
                <w:szCs w:val="18"/>
              </w:rPr>
              <w:t>)</w:t>
            </w:r>
          </w:p>
        </w:tc>
        <w:tc>
          <w:tcPr>
            <w:tcW w:w="1380" w:type="dxa"/>
            <w:tcBorders>
              <w:top w:val="nil"/>
              <w:left w:val="nil"/>
              <w:bottom w:val="nil"/>
              <w:right w:val="nil"/>
            </w:tcBorders>
            <w:shd w:val="clear" w:color="auto" w:fill="auto"/>
            <w:noWrap/>
            <w:vAlign w:val="center"/>
            <w:hideMark/>
          </w:tcPr>
          <w:p w14:paraId="1E342F78" w14:textId="77777777" w:rsidR="00345181" w:rsidRPr="003F155C" w:rsidRDefault="00345181" w:rsidP="00345181">
            <w:pPr>
              <w:jc w:val="center"/>
              <w:rPr>
                <w:color w:val="000000"/>
                <w:sz w:val="18"/>
                <w:szCs w:val="18"/>
              </w:rPr>
            </w:pPr>
            <w:r w:rsidRPr="003F155C">
              <w:rPr>
                <w:color w:val="000000"/>
                <w:sz w:val="18"/>
                <w:szCs w:val="18"/>
              </w:rPr>
              <w:t>37</w:t>
            </w:r>
          </w:p>
        </w:tc>
        <w:tc>
          <w:tcPr>
            <w:tcW w:w="1381" w:type="dxa"/>
            <w:tcBorders>
              <w:top w:val="nil"/>
              <w:left w:val="nil"/>
              <w:bottom w:val="nil"/>
              <w:right w:val="nil"/>
            </w:tcBorders>
            <w:shd w:val="clear" w:color="auto" w:fill="auto"/>
            <w:noWrap/>
            <w:vAlign w:val="center"/>
            <w:hideMark/>
          </w:tcPr>
          <w:p w14:paraId="530DC0F2" w14:textId="77777777" w:rsidR="00345181" w:rsidRPr="003F155C" w:rsidRDefault="00345181" w:rsidP="00345181">
            <w:pPr>
              <w:jc w:val="center"/>
              <w:rPr>
                <w:color w:val="000000"/>
                <w:sz w:val="18"/>
                <w:szCs w:val="18"/>
              </w:rPr>
            </w:pPr>
            <w:r w:rsidRPr="003F155C">
              <w:rPr>
                <w:color w:val="000000"/>
                <w:sz w:val="18"/>
                <w:szCs w:val="18"/>
              </w:rPr>
              <w:t>17</w:t>
            </w:r>
          </w:p>
        </w:tc>
        <w:tc>
          <w:tcPr>
            <w:tcW w:w="1380" w:type="dxa"/>
            <w:tcBorders>
              <w:top w:val="nil"/>
              <w:left w:val="nil"/>
              <w:bottom w:val="nil"/>
              <w:right w:val="single" w:sz="8" w:space="0" w:color="auto"/>
            </w:tcBorders>
            <w:shd w:val="clear" w:color="auto" w:fill="auto"/>
            <w:noWrap/>
            <w:vAlign w:val="center"/>
            <w:hideMark/>
          </w:tcPr>
          <w:p w14:paraId="51AFE026" w14:textId="77777777" w:rsidR="00345181" w:rsidRPr="003F155C" w:rsidRDefault="00345181" w:rsidP="00345181">
            <w:pPr>
              <w:jc w:val="center"/>
              <w:rPr>
                <w:color w:val="000000"/>
                <w:sz w:val="18"/>
                <w:szCs w:val="18"/>
              </w:rPr>
            </w:pPr>
            <w:r w:rsidRPr="003F155C">
              <w:rPr>
                <w:color w:val="000000"/>
                <w:sz w:val="18"/>
                <w:szCs w:val="18"/>
              </w:rPr>
              <w:t>26</w:t>
            </w:r>
          </w:p>
        </w:tc>
        <w:tc>
          <w:tcPr>
            <w:tcW w:w="1381" w:type="dxa"/>
            <w:tcBorders>
              <w:top w:val="nil"/>
              <w:left w:val="single" w:sz="8" w:space="0" w:color="auto"/>
              <w:bottom w:val="nil"/>
              <w:right w:val="nil"/>
            </w:tcBorders>
            <w:vAlign w:val="center"/>
          </w:tcPr>
          <w:p w14:paraId="633702A5" w14:textId="77777777" w:rsidR="00345181" w:rsidRPr="003F155C" w:rsidRDefault="00345181" w:rsidP="00345181">
            <w:pPr>
              <w:jc w:val="center"/>
              <w:rPr>
                <w:color w:val="000000"/>
                <w:sz w:val="18"/>
                <w:szCs w:val="18"/>
              </w:rPr>
            </w:pPr>
            <w:r w:rsidRPr="003F155C">
              <w:rPr>
                <w:color w:val="000000"/>
                <w:sz w:val="18"/>
                <w:szCs w:val="18"/>
              </w:rPr>
              <w:t>32</w:t>
            </w:r>
          </w:p>
        </w:tc>
        <w:tc>
          <w:tcPr>
            <w:tcW w:w="1380" w:type="dxa"/>
            <w:tcBorders>
              <w:top w:val="nil"/>
              <w:left w:val="nil"/>
              <w:bottom w:val="nil"/>
              <w:right w:val="nil"/>
            </w:tcBorders>
            <w:vAlign w:val="center"/>
          </w:tcPr>
          <w:p w14:paraId="506D62E9" w14:textId="77777777" w:rsidR="00345181" w:rsidRPr="003F155C" w:rsidRDefault="00345181" w:rsidP="00345181">
            <w:pPr>
              <w:jc w:val="center"/>
              <w:rPr>
                <w:color w:val="000000"/>
                <w:sz w:val="18"/>
                <w:szCs w:val="18"/>
              </w:rPr>
            </w:pPr>
            <w:r w:rsidRPr="003F155C">
              <w:rPr>
                <w:color w:val="000000"/>
                <w:sz w:val="18"/>
                <w:szCs w:val="18"/>
              </w:rPr>
              <w:t>27</w:t>
            </w:r>
          </w:p>
        </w:tc>
        <w:tc>
          <w:tcPr>
            <w:tcW w:w="1381" w:type="dxa"/>
            <w:tcBorders>
              <w:top w:val="nil"/>
              <w:left w:val="nil"/>
              <w:bottom w:val="nil"/>
              <w:right w:val="nil"/>
            </w:tcBorders>
            <w:vAlign w:val="center"/>
          </w:tcPr>
          <w:p w14:paraId="0F785EDD" w14:textId="77777777" w:rsidR="00345181" w:rsidRPr="003F155C" w:rsidRDefault="00345181" w:rsidP="00345181">
            <w:pPr>
              <w:jc w:val="center"/>
              <w:rPr>
                <w:color w:val="000000"/>
                <w:sz w:val="18"/>
                <w:szCs w:val="18"/>
              </w:rPr>
            </w:pPr>
            <w:r w:rsidRPr="003F155C">
              <w:rPr>
                <w:color w:val="000000"/>
                <w:sz w:val="18"/>
                <w:szCs w:val="18"/>
              </w:rPr>
              <w:t>18</w:t>
            </w:r>
          </w:p>
        </w:tc>
      </w:tr>
      <w:tr w:rsidR="00345181" w:rsidRPr="003F155C" w14:paraId="41F08014" w14:textId="77777777" w:rsidTr="007810B8">
        <w:trPr>
          <w:trHeight w:val="20"/>
        </w:trPr>
        <w:tc>
          <w:tcPr>
            <w:tcW w:w="1077" w:type="dxa"/>
            <w:tcBorders>
              <w:top w:val="nil"/>
              <w:left w:val="nil"/>
              <w:bottom w:val="nil"/>
              <w:right w:val="nil"/>
            </w:tcBorders>
            <w:shd w:val="clear" w:color="auto" w:fill="auto"/>
            <w:noWrap/>
            <w:vAlign w:val="center"/>
            <w:hideMark/>
          </w:tcPr>
          <w:p w14:paraId="6AFC59AF" w14:textId="77777777" w:rsidR="00345181" w:rsidRPr="003F155C" w:rsidRDefault="00345181" w:rsidP="00345181">
            <w:pPr>
              <w:jc w:val="center"/>
              <w:rPr>
                <w:color w:val="000000"/>
                <w:sz w:val="18"/>
                <w:szCs w:val="18"/>
              </w:rPr>
            </w:pPr>
            <w:r w:rsidRPr="003F155C">
              <w:rPr>
                <w:color w:val="000000"/>
                <w:sz w:val="18"/>
                <w:szCs w:val="18"/>
              </w:rPr>
              <w:t># Schools (114)</w:t>
            </w:r>
          </w:p>
        </w:tc>
        <w:tc>
          <w:tcPr>
            <w:tcW w:w="1380" w:type="dxa"/>
            <w:tcBorders>
              <w:top w:val="nil"/>
              <w:left w:val="nil"/>
              <w:bottom w:val="nil"/>
              <w:right w:val="nil"/>
            </w:tcBorders>
            <w:shd w:val="clear" w:color="auto" w:fill="auto"/>
            <w:noWrap/>
            <w:vAlign w:val="center"/>
            <w:hideMark/>
          </w:tcPr>
          <w:p w14:paraId="6E098509" w14:textId="77777777" w:rsidR="00345181" w:rsidRPr="003F155C" w:rsidRDefault="00345181" w:rsidP="00345181">
            <w:pPr>
              <w:jc w:val="center"/>
              <w:rPr>
                <w:color w:val="000000"/>
                <w:sz w:val="18"/>
                <w:szCs w:val="18"/>
              </w:rPr>
            </w:pPr>
            <w:r w:rsidRPr="003F155C">
              <w:rPr>
                <w:color w:val="000000"/>
                <w:sz w:val="18"/>
                <w:szCs w:val="18"/>
              </w:rPr>
              <w:t>53</w:t>
            </w:r>
          </w:p>
        </w:tc>
        <w:tc>
          <w:tcPr>
            <w:tcW w:w="1381" w:type="dxa"/>
            <w:tcBorders>
              <w:top w:val="nil"/>
              <w:left w:val="nil"/>
              <w:bottom w:val="nil"/>
              <w:right w:val="nil"/>
            </w:tcBorders>
            <w:shd w:val="clear" w:color="auto" w:fill="auto"/>
            <w:noWrap/>
            <w:vAlign w:val="center"/>
            <w:hideMark/>
          </w:tcPr>
          <w:p w14:paraId="7E418AD9" w14:textId="77777777" w:rsidR="00345181" w:rsidRPr="003F155C" w:rsidRDefault="00345181" w:rsidP="00345181">
            <w:pPr>
              <w:jc w:val="center"/>
              <w:rPr>
                <w:color w:val="000000"/>
                <w:sz w:val="18"/>
                <w:szCs w:val="18"/>
              </w:rPr>
            </w:pPr>
            <w:r w:rsidRPr="003F155C">
              <w:rPr>
                <w:color w:val="000000"/>
                <w:sz w:val="18"/>
                <w:szCs w:val="18"/>
              </w:rPr>
              <w:t>24</w:t>
            </w:r>
          </w:p>
        </w:tc>
        <w:tc>
          <w:tcPr>
            <w:tcW w:w="1380" w:type="dxa"/>
            <w:tcBorders>
              <w:top w:val="nil"/>
              <w:left w:val="nil"/>
              <w:bottom w:val="nil"/>
              <w:right w:val="single" w:sz="8" w:space="0" w:color="auto"/>
            </w:tcBorders>
            <w:shd w:val="clear" w:color="auto" w:fill="auto"/>
            <w:noWrap/>
            <w:vAlign w:val="center"/>
            <w:hideMark/>
          </w:tcPr>
          <w:p w14:paraId="3378AC48" w14:textId="77777777" w:rsidR="00345181" w:rsidRPr="003F155C" w:rsidRDefault="00345181" w:rsidP="00345181">
            <w:pPr>
              <w:jc w:val="center"/>
              <w:rPr>
                <w:color w:val="000000"/>
                <w:sz w:val="18"/>
                <w:szCs w:val="18"/>
              </w:rPr>
            </w:pPr>
            <w:r w:rsidRPr="003F155C">
              <w:rPr>
                <w:color w:val="000000"/>
                <w:sz w:val="18"/>
                <w:szCs w:val="18"/>
              </w:rPr>
              <w:t>37</w:t>
            </w:r>
          </w:p>
        </w:tc>
        <w:tc>
          <w:tcPr>
            <w:tcW w:w="1381" w:type="dxa"/>
            <w:tcBorders>
              <w:top w:val="nil"/>
              <w:left w:val="single" w:sz="8" w:space="0" w:color="auto"/>
              <w:bottom w:val="nil"/>
              <w:right w:val="nil"/>
            </w:tcBorders>
            <w:vAlign w:val="center"/>
          </w:tcPr>
          <w:p w14:paraId="37760CF7" w14:textId="77777777" w:rsidR="00345181" w:rsidRPr="003F155C" w:rsidRDefault="00345181" w:rsidP="00345181">
            <w:pPr>
              <w:jc w:val="center"/>
              <w:rPr>
                <w:color w:val="000000"/>
                <w:sz w:val="18"/>
                <w:szCs w:val="18"/>
              </w:rPr>
            </w:pPr>
            <w:r w:rsidRPr="003F155C">
              <w:rPr>
                <w:color w:val="000000"/>
                <w:sz w:val="18"/>
                <w:szCs w:val="18"/>
              </w:rPr>
              <w:t>44</w:t>
            </w:r>
          </w:p>
        </w:tc>
        <w:tc>
          <w:tcPr>
            <w:tcW w:w="1380" w:type="dxa"/>
            <w:tcBorders>
              <w:top w:val="nil"/>
              <w:left w:val="nil"/>
              <w:bottom w:val="nil"/>
              <w:right w:val="nil"/>
            </w:tcBorders>
            <w:vAlign w:val="center"/>
          </w:tcPr>
          <w:p w14:paraId="46DC2C28" w14:textId="77777777" w:rsidR="00345181" w:rsidRPr="003F155C" w:rsidRDefault="00345181" w:rsidP="00345181">
            <w:pPr>
              <w:jc w:val="center"/>
              <w:rPr>
                <w:color w:val="000000"/>
                <w:sz w:val="18"/>
                <w:szCs w:val="18"/>
              </w:rPr>
            </w:pPr>
            <w:r w:rsidRPr="003F155C">
              <w:rPr>
                <w:color w:val="000000"/>
                <w:sz w:val="18"/>
                <w:szCs w:val="18"/>
              </w:rPr>
              <w:t>44</w:t>
            </w:r>
          </w:p>
        </w:tc>
        <w:tc>
          <w:tcPr>
            <w:tcW w:w="1381" w:type="dxa"/>
            <w:tcBorders>
              <w:top w:val="nil"/>
              <w:left w:val="nil"/>
              <w:bottom w:val="nil"/>
              <w:right w:val="nil"/>
            </w:tcBorders>
            <w:vAlign w:val="center"/>
          </w:tcPr>
          <w:p w14:paraId="0796DEDD" w14:textId="77777777" w:rsidR="00345181" w:rsidRPr="003F155C" w:rsidRDefault="00345181" w:rsidP="00345181">
            <w:pPr>
              <w:jc w:val="center"/>
              <w:rPr>
                <w:color w:val="000000"/>
                <w:sz w:val="18"/>
                <w:szCs w:val="18"/>
              </w:rPr>
            </w:pPr>
            <w:r w:rsidRPr="003F155C">
              <w:rPr>
                <w:color w:val="000000"/>
                <w:sz w:val="18"/>
                <w:szCs w:val="18"/>
              </w:rPr>
              <w:t>26</w:t>
            </w:r>
          </w:p>
        </w:tc>
      </w:tr>
      <w:tr w:rsidR="00345181" w:rsidRPr="003F155C" w14:paraId="1B6541B3" w14:textId="77777777" w:rsidTr="007810B8">
        <w:trPr>
          <w:trHeight w:val="20"/>
        </w:trPr>
        <w:tc>
          <w:tcPr>
            <w:tcW w:w="1077" w:type="dxa"/>
            <w:tcBorders>
              <w:top w:val="nil"/>
              <w:left w:val="nil"/>
              <w:bottom w:val="single" w:sz="18" w:space="0" w:color="000000"/>
              <w:right w:val="nil"/>
            </w:tcBorders>
            <w:shd w:val="clear" w:color="auto" w:fill="auto"/>
            <w:noWrap/>
            <w:vAlign w:val="center"/>
          </w:tcPr>
          <w:p w14:paraId="426E5728" w14:textId="77777777" w:rsidR="00345181" w:rsidRPr="003F155C" w:rsidRDefault="00345181" w:rsidP="00345181">
            <w:pPr>
              <w:jc w:val="center"/>
              <w:rPr>
                <w:color w:val="000000"/>
                <w:sz w:val="18"/>
                <w:szCs w:val="18"/>
              </w:rPr>
            </w:pPr>
            <w:r w:rsidRPr="003F155C">
              <w:rPr>
                <w:color w:val="000000"/>
                <w:sz w:val="18"/>
                <w:szCs w:val="18"/>
              </w:rPr>
              <w:t># States (</w:t>
            </w:r>
            <w:r>
              <w:rPr>
                <w:color w:val="000000"/>
                <w:sz w:val="18"/>
                <w:szCs w:val="18"/>
              </w:rPr>
              <w:t>22</w:t>
            </w:r>
            <w:r w:rsidRPr="003F155C">
              <w:rPr>
                <w:color w:val="000000"/>
                <w:sz w:val="18"/>
                <w:szCs w:val="18"/>
              </w:rPr>
              <w:t>)</w:t>
            </w:r>
          </w:p>
        </w:tc>
        <w:tc>
          <w:tcPr>
            <w:tcW w:w="1380" w:type="dxa"/>
            <w:tcBorders>
              <w:top w:val="nil"/>
              <w:left w:val="nil"/>
              <w:bottom w:val="single" w:sz="18" w:space="0" w:color="000000"/>
              <w:right w:val="nil"/>
            </w:tcBorders>
            <w:shd w:val="clear" w:color="auto" w:fill="auto"/>
            <w:noWrap/>
            <w:vAlign w:val="center"/>
          </w:tcPr>
          <w:p w14:paraId="1E1275D8" w14:textId="77777777" w:rsidR="00345181" w:rsidRPr="003F155C" w:rsidRDefault="00345181" w:rsidP="00345181">
            <w:pPr>
              <w:jc w:val="center"/>
              <w:rPr>
                <w:color w:val="000000"/>
                <w:sz w:val="18"/>
                <w:szCs w:val="18"/>
              </w:rPr>
            </w:pPr>
            <w:r w:rsidRPr="003F155C">
              <w:rPr>
                <w:color w:val="000000"/>
                <w:sz w:val="18"/>
                <w:szCs w:val="18"/>
              </w:rPr>
              <w:t>20</w:t>
            </w:r>
          </w:p>
        </w:tc>
        <w:tc>
          <w:tcPr>
            <w:tcW w:w="1381" w:type="dxa"/>
            <w:tcBorders>
              <w:top w:val="nil"/>
              <w:left w:val="nil"/>
              <w:bottom w:val="single" w:sz="18" w:space="0" w:color="000000"/>
              <w:right w:val="nil"/>
            </w:tcBorders>
            <w:shd w:val="clear" w:color="auto" w:fill="auto"/>
            <w:noWrap/>
            <w:vAlign w:val="center"/>
          </w:tcPr>
          <w:p w14:paraId="453FB0EA" w14:textId="77777777" w:rsidR="00345181" w:rsidRPr="003F155C" w:rsidRDefault="00345181" w:rsidP="00345181">
            <w:pPr>
              <w:jc w:val="center"/>
              <w:rPr>
                <w:color w:val="000000"/>
                <w:sz w:val="18"/>
                <w:szCs w:val="18"/>
              </w:rPr>
            </w:pPr>
            <w:r w:rsidRPr="003F155C">
              <w:rPr>
                <w:color w:val="000000"/>
                <w:sz w:val="18"/>
                <w:szCs w:val="18"/>
              </w:rPr>
              <w:t>10</w:t>
            </w:r>
          </w:p>
        </w:tc>
        <w:tc>
          <w:tcPr>
            <w:tcW w:w="1380" w:type="dxa"/>
            <w:tcBorders>
              <w:top w:val="nil"/>
              <w:left w:val="nil"/>
              <w:bottom w:val="single" w:sz="18" w:space="0" w:color="000000"/>
              <w:right w:val="single" w:sz="8" w:space="0" w:color="auto"/>
            </w:tcBorders>
            <w:shd w:val="clear" w:color="auto" w:fill="auto"/>
            <w:noWrap/>
            <w:vAlign w:val="center"/>
          </w:tcPr>
          <w:p w14:paraId="3772EBDB" w14:textId="77777777" w:rsidR="00345181" w:rsidRPr="003F155C" w:rsidRDefault="00345181" w:rsidP="00345181">
            <w:pPr>
              <w:jc w:val="center"/>
              <w:rPr>
                <w:color w:val="000000"/>
                <w:sz w:val="18"/>
                <w:szCs w:val="18"/>
              </w:rPr>
            </w:pPr>
            <w:r w:rsidRPr="003F155C">
              <w:rPr>
                <w:color w:val="000000"/>
                <w:sz w:val="18"/>
                <w:szCs w:val="18"/>
              </w:rPr>
              <w:t>16</w:t>
            </w:r>
          </w:p>
        </w:tc>
        <w:tc>
          <w:tcPr>
            <w:tcW w:w="1381" w:type="dxa"/>
            <w:tcBorders>
              <w:top w:val="nil"/>
              <w:left w:val="single" w:sz="8" w:space="0" w:color="auto"/>
              <w:bottom w:val="single" w:sz="18" w:space="0" w:color="000000"/>
              <w:right w:val="nil"/>
            </w:tcBorders>
            <w:vAlign w:val="center"/>
          </w:tcPr>
          <w:p w14:paraId="4ECF0B25" w14:textId="77777777" w:rsidR="00345181" w:rsidRPr="003F155C" w:rsidRDefault="00345181" w:rsidP="00345181">
            <w:pPr>
              <w:jc w:val="center"/>
              <w:rPr>
                <w:color w:val="000000"/>
                <w:sz w:val="18"/>
                <w:szCs w:val="18"/>
              </w:rPr>
            </w:pPr>
            <w:r w:rsidRPr="003F155C">
              <w:rPr>
                <w:color w:val="000000"/>
                <w:sz w:val="18"/>
                <w:szCs w:val="18"/>
              </w:rPr>
              <w:t>18</w:t>
            </w:r>
          </w:p>
        </w:tc>
        <w:tc>
          <w:tcPr>
            <w:tcW w:w="1380" w:type="dxa"/>
            <w:tcBorders>
              <w:top w:val="nil"/>
              <w:left w:val="nil"/>
              <w:bottom w:val="single" w:sz="18" w:space="0" w:color="000000"/>
              <w:right w:val="nil"/>
            </w:tcBorders>
            <w:vAlign w:val="center"/>
          </w:tcPr>
          <w:p w14:paraId="77EB7B6E" w14:textId="77777777" w:rsidR="00345181" w:rsidRPr="003F155C" w:rsidRDefault="00345181" w:rsidP="00345181">
            <w:pPr>
              <w:jc w:val="center"/>
              <w:rPr>
                <w:color w:val="000000"/>
                <w:sz w:val="18"/>
                <w:szCs w:val="18"/>
              </w:rPr>
            </w:pPr>
            <w:r w:rsidRPr="003F155C">
              <w:rPr>
                <w:color w:val="000000"/>
                <w:sz w:val="18"/>
                <w:szCs w:val="18"/>
              </w:rPr>
              <w:t>15</w:t>
            </w:r>
          </w:p>
        </w:tc>
        <w:tc>
          <w:tcPr>
            <w:tcW w:w="1381" w:type="dxa"/>
            <w:tcBorders>
              <w:top w:val="nil"/>
              <w:left w:val="nil"/>
              <w:bottom w:val="single" w:sz="18" w:space="0" w:color="000000"/>
              <w:right w:val="nil"/>
            </w:tcBorders>
            <w:vAlign w:val="center"/>
          </w:tcPr>
          <w:p w14:paraId="1FEB27DE" w14:textId="77777777" w:rsidR="00345181" w:rsidRPr="003F155C" w:rsidRDefault="00345181" w:rsidP="00345181">
            <w:pPr>
              <w:jc w:val="center"/>
              <w:rPr>
                <w:color w:val="000000"/>
                <w:sz w:val="18"/>
                <w:szCs w:val="18"/>
              </w:rPr>
            </w:pPr>
            <w:r w:rsidRPr="003F155C">
              <w:rPr>
                <w:color w:val="000000"/>
                <w:sz w:val="18"/>
                <w:szCs w:val="18"/>
              </w:rPr>
              <w:t>11</w:t>
            </w:r>
          </w:p>
        </w:tc>
      </w:tr>
    </w:tbl>
    <w:p w14:paraId="16961F89" w14:textId="77777777" w:rsidR="00345181" w:rsidRDefault="00345181" w:rsidP="00345181">
      <w:pPr>
        <w:rPr>
          <w:sz w:val="18"/>
          <w:szCs w:val="18"/>
        </w:rPr>
      </w:pPr>
      <w:r w:rsidRPr="003F155C">
        <w:rPr>
          <w:sz w:val="18"/>
          <w:szCs w:val="18"/>
        </w:rPr>
        <w:t xml:space="preserve">Note: (total </w:t>
      </w:r>
      <w:r w:rsidRPr="003F155C">
        <w:rPr>
          <w:i/>
          <w:iCs/>
          <w:sz w:val="18"/>
          <w:szCs w:val="18"/>
        </w:rPr>
        <w:t>n</w:t>
      </w:r>
      <w:r w:rsidRPr="003F155C">
        <w:rPr>
          <w:sz w:val="18"/>
          <w:szCs w:val="18"/>
        </w:rPr>
        <w:t xml:space="preserve"> in sample)</w:t>
      </w:r>
    </w:p>
    <w:bookmarkEnd w:id="31"/>
    <w:p w14:paraId="18448464" w14:textId="7DBC6DA1" w:rsidR="00345181" w:rsidRDefault="00345181" w:rsidP="00345181"/>
    <w:p w14:paraId="708B4968" w14:textId="121464B9" w:rsidR="00316604" w:rsidRDefault="00EA2F94" w:rsidP="00345181">
      <w:pPr>
        <w:pStyle w:val="CommentText"/>
        <w:ind w:firstLine="720"/>
        <w:jc w:val="both"/>
        <w:rPr>
          <w:bCs/>
          <w:sz w:val="24"/>
          <w:szCs w:val="24"/>
        </w:rPr>
      </w:pPr>
      <w:r>
        <w:rPr>
          <w:bCs/>
          <w:sz w:val="24"/>
          <w:szCs w:val="24"/>
        </w:rPr>
        <w:t xml:space="preserve">Most of the programs we observed focused on general natural history elements (e.g., </w:t>
      </w:r>
      <w:r w:rsidR="004678C6">
        <w:rPr>
          <w:bCs/>
          <w:sz w:val="24"/>
          <w:szCs w:val="24"/>
        </w:rPr>
        <w:t>species identification and information</w:t>
      </w:r>
      <w:r>
        <w:rPr>
          <w:bCs/>
          <w:sz w:val="24"/>
          <w:szCs w:val="24"/>
        </w:rPr>
        <w:t>, ecosystem</w:t>
      </w:r>
      <w:r w:rsidR="004678C6">
        <w:rPr>
          <w:bCs/>
          <w:sz w:val="24"/>
          <w:szCs w:val="24"/>
        </w:rPr>
        <w:t xml:space="preserve"> descri</w:t>
      </w:r>
      <w:r w:rsidR="00DC3109">
        <w:rPr>
          <w:bCs/>
          <w:sz w:val="24"/>
          <w:szCs w:val="24"/>
        </w:rPr>
        <w:t>pt</w:t>
      </w:r>
      <w:r w:rsidR="004678C6">
        <w:rPr>
          <w:bCs/>
          <w:sz w:val="24"/>
          <w:szCs w:val="24"/>
        </w:rPr>
        <w:t>ion</w:t>
      </w:r>
      <w:r>
        <w:rPr>
          <w:bCs/>
          <w:sz w:val="24"/>
          <w:szCs w:val="24"/>
        </w:rPr>
        <w:t xml:space="preserve">s); making scientific observations (e.g., soil coring or water quality testing); and other curriculum-linked scientific topics (e.g., hydrology, food webs). Few programs (about 12%) directly addressed environmental issues, their consequences, </w:t>
      </w:r>
      <w:r w:rsidR="00DC3109">
        <w:rPr>
          <w:bCs/>
          <w:sz w:val="24"/>
          <w:szCs w:val="24"/>
        </w:rPr>
        <w:t>and</w:t>
      </w:r>
      <w:r>
        <w:rPr>
          <w:bCs/>
          <w:sz w:val="24"/>
          <w:szCs w:val="24"/>
        </w:rPr>
        <w:t xml:space="preserve"> potential solutions directly. We observed some element</w:t>
      </w:r>
      <w:r w:rsidR="00064635">
        <w:rPr>
          <w:bCs/>
          <w:sz w:val="24"/>
          <w:szCs w:val="24"/>
        </w:rPr>
        <w:t>s</w:t>
      </w:r>
      <w:r>
        <w:rPr>
          <w:bCs/>
          <w:sz w:val="24"/>
          <w:szCs w:val="24"/>
        </w:rPr>
        <w:t xml:space="preserve"> of pro-environmental advocacy </w:t>
      </w:r>
      <w:r w:rsidR="006418C0">
        <w:rPr>
          <w:bCs/>
          <w:sz w:val="24"/>
          <w:szCs w:val="24"/>
        </w:rPr>
        <w:t>by</w:t>
      </w:r>
      <w:r>
        <w:rPr>
          <w:bCs/>
          <w:sz w:val="24"/>
          <w:szCs w:val="24"/>
        </w:rPr>
        <w:t xml:space="preserve"> the on-site environmental educators in about one quarter of the programs. This ranged from </w:t>
      </w:r>
      <w:r w:rsidR="007F658C">
        <w:rPr>
          <w:bCs/>
          <w:sz w:val="24"/>
          <w:szCs w:val="24"/>
        </w:rPr>
        <w:t>minor comments</w:t>
      </w:r>
      <w:r>
        <w:rPr>
          <w:bCs/>
          <w:sz w:val="24"/>
          <w:szCs w:val="24"/>
        </w:rPr>
        <w:t xml:space="preserve"> </w:t>
      </w:r>
      <w:r w:rsidR="007F658C">
        <w:rPr>
          <w:bCs/>
          <w:sz w:val="24"/>
          <w:szCs w:val="24"/>
        </w:rPr>
        <w:t>about minimizing</w:t>
      </w:r>
      <w:r>
        <w:rPr>
          <w:bCs/>
          <w:sz w:val="24"/>
          <w:szCs w:val="24"/>
        </w:rPr>
        <w:t xml:space="preserve"> negative human impacts to </w:t>
      </w:r>
      <w:r w:rsidR="004678C6">
        <w:rPr>
          <w:bCs/>
          <w:sz w:val="24"/>
          <w:szCs w:val="24"/>
        </w:rPr>
        <w:t xml:space="preserve">specific </w:t>
      </w:r>
      <w:r>
        <w:rPr>
          <w:bCs/>
          <w:sz w:val="24"/>
          <w:szCs w:val="24"/>
        </w:rPr>
        <w:t>calls to protect species, water quality, or the specific place in which the program occurred.</w:t>
      </w:r>
      <w:r w:rsidR="006C3279">
        <w:rPr>
          <w:bCs/>
          <w:sz w:val="24"/>
          <w:szCs w:val="24"/>
        </w:rPr>
        <w:t xml:space="preserve"> </w:t>
      </w:r>
      <w:r>
        <w:rPr>
          <w:bCs/>
          <w:sz w:val="24"/>
          <w:szCs w:val="24"/>
        </w:rPr>
        <w:t>Politically contentious issues</w:t>
      </w:r>
      <w:r w:rsidR="008070BA">
        <w:rPr>
          <w:bCs/>
          <w:sz w:val="24"/>
          <w:szCs w:val="24"/>
        </w:rPr>
        <w:t xml:space="preserve"> </w:t>
      </w:r>
      <w:r>
        <w:rPr>
          <w:bCs/>
          <w:sz w:val="24"/>
          <w:szCs w:val="24"/>
        </w:rPr>
        <w:t>were rare</w:t>
      </w:r>
      <w:r w:rsidR="004678C6">
        <w:rPr>
          <w:bCs/>
          <w:sz w:val="24"/>
          <w:szCs w:val="24"/>
        </w:rPr>
        <w:t xml:space="preserve">ly addressed. For example, </w:t>
      </w:r>
      <w:r w:rsidR="006418C0">
        <w:rPr>
          <w:bCs/>
          <w:sz w:val="24"/>
          <w:szCs w:val="24"/>
        </w:rPr>
        <w:t xml:space="preserve">in this sample </w:t>
      </w:r>
      <w:r w:rsidR="004678C6">
        <w:rPr>
          <w:bCs/>
          <w:sz w:val="24"/>
          <w:szCs w:val="24"/>
        </w:rPr>
        <w:t xml:space="preserve">we only observed </w:t>
      </w:r>
      <w:r w:rsidR="000F1088">
        <w:rPr>
          <w:bCs/>
          <w:sz w:val="24"/>
          <w:szCs w:val="24"/>
        </w:rPr>
        <w:t>11</w:t>
      </w:r>
      <w:r w:rsidR="005C1CA1">
        <w:rPr>
          <w:bCs/>
          <w:sz w:val="24"/>
          <w:szCs w:val="24"/>
        </w:rPr>
        <w:t xml:space="preserve"> </w:t>
      </w:r>
      <w:r w:rsidR="008070BA">
        <w:rPr>
          <w:bCs/>
          <w:sz w:val="24"/>
          <w:szCs w:val="24"/>
        </w:rPr>
        <w:t xml:space="preserve">programs that referenced climate change or alternative energy </w:t>
      </w:r>
      <w:r w:rsidR="00AB4843">
        <w:rPr>
          <w:bCs/>
          <w:sz w:val="24"/>
          <w:szCs w:val="24"/>
        </w:rPr>
        <w:t>production</w:t>
      </w:r>
      <w:r w:rsidR="00F37034">
        <w:rPr>
          <w:bCs/>
          <w:sz w:val="24"/>
          <w:szCs w:val="24"/>
        </w:rPr>
        <w:t>.</w:t>
      </w:r>
      <w:r>
        <w:rPr>
          <w:bCs/>
          <w:sz w:val="24"/>
          <w:szCs w:val="24"/>
        </w:rPr>
        <w:t xml:space="preserve"> For more details</w:t>
      </w:r>
      <w:r w:rsidR="00F37034">
        <w:rPr>
          <w:bCs/>
          <w:sz w:val="24"/>
          <w:szCs w:val="24"/>
        </w:rPr>
        <w:t xml:space="preserve"> on the specific content and pedagogical approaches of these programs</w:t>
      </w:r>
      <w:r>
        <w:rPr>
          <w:bCs/>
          <w:sz w:val="24"/>
          <w:szCs w:val="24"/>
        </w:rPr>
        <w:t xml:space="preserve">, see our companion article in this issue (Thorpe et al., 202X). </w:t>
      </w:r>
    </w:p>
    <w:p w14:paraId="281619EC" w14:textId="77777777" w:rsidR="00EA2F94" w:rsidRDefault="00EA2F94" w:rsidP="00345181">
      <w:pPr>
        <w:pStyle w:val="CommentText"/>
        <w:ind w:firstLine="720"/>
        <w:jc w:val="both"/>
        <w:rPr>
          <w:bCs/>
          <w:sz w:val="24"/>
          <w:szCs w:val="24"/>
        </w:rPr>
      </w:pPr>
    </w:p>
    <w:p w14:paraId="04EE1ACF" w14:textId="77777777" w:rsidR="0001288E" w:rsidRPr="00EA10DA" w:rsidRDefault="0001288E" w:rsidP="0001288E">
      <w:pPr>
        <w:jc w:val="both"/>
        <w:rPr>
          <w:b/>
          <w:i/>
          <w:iCs/>
        </w:rPr>
      </w:pPr>
      <w:r>
        <w:rPr>
          <w:b/>
          <w:i/>
          <w:iCs/>
        </w:rPr>
        <w:t>Do outcomes of EE programs differ for middle school students (grades 5-8; ages 10-14) from different sociopolitical contexts</w:t>
      </w:r>
      <w:r w:rsidRPr="00127270">
        <w:rPr>
          <w:b/>
          <w:i/>
          <w:iCs/>
        </w:rPr>
        <w:t>?</w:t>
      </w:r>
    </w:p>
    <w:p w14:paraId="3D8730D2" w14:textId="5BB3A7B5" w:rsidR="0001288E" w:rsidRDefault="0001288E" w:rsidP="0001288E">
      <w:pPr>
        <w:ind w:firstLine="720"/>
        <w:jc w:val="both"/>
      </w:pPr>
      <w:r w:rsidRPr="0084477F">
        <w:t xml:space="preserve">Table </w:t>
      </w:r>
      <w:r w:rsidR="00C437CB">
        <w:t>4</w:t>
      </w:r>
      <w:r w:rsidRPr="0084477F">
        <w:t xml:space="preserve"> displays the results of </w:t>
      </w:r>
      <w:r>
        <w:t xml:space="preserve">a </w:t>
      </w:r>
      <w:r w:rsidRPr="0084477F">
        <w:t xml:space="preserve">one-way </w:t>
      </w:r>
      <w:r>
        <w:t>ANOVA</w:t>
      </w:r>
      <w:r w:rsidRPr="0084477F">
        <w:t xml:space="preserve"> comparing EE21 outcome scores across sociopolitical contexts </w:t>
      </w:r>
      <w:r>
        <w:t xml:space="preserve">independent of socioeconomic context </w:t>
      </w:r>
      <w:r w:rsidRPr="0084477F">
        <w:t xml:space="preserve">using </w:t>
      </w:r>
      <w:r>
        <w:t>the 10- and 20-point landslides, controlling for grade and race</w:t>
      </w:r>
      <w:r w:rsidRPr="0084477F">
        <w:t xml:space="preserve">. </w:t>
      </w:r>
      <w:r>
        <w:t>T</w:t>
      </w:r>
      <w:r w:rsidRPr="0084477F">
        <w:t xml:space="preserve">here were no significant differences in EE21 outcomes for students from different sociopolitical contexts using the 10-point landslide; however, using the </w:t>
      </w:r>
      <w:r>
        <w:t xml:space="preserve">more hyper-partisan </w:t>
      </w:r>
      <w:r w:rsidRPr="0084477F">
        <w:t xml:space="preserve">20-point landslide, groups from </w:t>
      </w:r>
      <w:r>
        <w:t xml:space="preserve">strongly </w:t>
      </w:r>
      <w:r w:rsidRPr="0084477F">
        <w:t xml:space="preserve">Republican contexts had </w:t>
      </w:r>
      <w:r w:rsidRPr="0084477F">
        <w:lastRenderedPageBreak/>
        <w:t>significantly more positive EE21 outcomes</w:t>
      </w:r>
      <w:r>
        <w:t>. Eta-squared effect size analysis indicated a small effect size (</w:t>
      </w:r>
      <w:r w:rsidRPr="00387EBA">
        <w:t>η</w:t>
      </w:r>
      <w:r w:rsidRPr="00387EBA">
        <w:rPr>
          <w:vertAlign w:val="superscript"/>
        </w:rPr>
        <w:t>2</w:t>
      </w:r>
      <w:r>
        <w:t xml:space="preserve"> = 0.03</w:t>
      </w:r>
      <w:r w:rsidR="00F37034">
        <w:t>0</w:t>
      </w:r>
      <w:r>
        <w:t>).</w:t>
      </w:r>
    </w:p>
    <w:p w14:paraId="42E44DCE" w14:textId="77777777" w:rsidR="0001288E" w:rsidRPr="002E6D92" w:rsidRDefault="0001288E" w:rsidP="0001288E">
      <w:pPr>
        <w:ind w:firstLine="720"/>
        <w:jc w:val="both"/>
      </w:pPr>
    </w:p>
    <w:p w14:paraId="0668B5EB" w14:textId="24FAB5BE" w:rsidR="0001288E" w:rsidRPr="0084477F" w:rsidRDefault="0001288E" w:rsidP="0001288E">
      <w:pPr>
        <w:jc w:val="both"/>
        <w:rPr>
          <w:i/>
          <w:iCs/>
          <w:sz w:val="22"/>
          <w:szCs w:val="22"/>
        </w:rPr>
      </w:pPr>
      <w:r w:rsidRPr="0084477F">
        <w:rPr>
          <w:i/>
          <w:iCs/>
          <w:sz w:val="22"/>
          <w:szCs w:val="22"/>
        </w:rPr>
        <w:t xml:space="preserve">Table </w:t>
      </w:r>
      <w:r w:rsidR="00C437CB">
        <w:rPr>
          <w:i/>
          <w:iCs/>
          <w:sz w:val="22"/>
          <w:szCs w:val="22"/>
        </w:rPr>
        <w:t>4</w:t>
      </w:r>
      <w:r w:rsidRPr="0084477F">
        <w:rPr>
          <w:i/>
          <w:iCs/>
          <w:sz w:val="22"/>
          <w:szCs w:val="22"/>
        </w:rPr>
        <w:t>. One-way ANOVA</w:t>
      </w:r>
      <w:r>
        <w:rPr>
          <w:i/>
          <w:iCs/>
          <w:sz w:val="22"/>
          <w:szCs w:val="22"/>
        </w:rPr>
        <w:t xml:space="preserve"> </w:t>
      </w:r>
      <w:r w:rsidRPr="0084477F">
        <w:rPr>
          <w:i/>
          <w:iCs/>
          <w:sz w:val="22"/>
          <w:szCs w:val="22"/>
        </w:rPr>
        <w:t>by sociopolitical context of visiting groups</w:t>
      </w:r>
      <w:r>
        <w:rPr>
          <w:i/>
          <w:iCs/>
          <w:sz w:val="22"/>
          <w:szCs w:val="22"/>
        </w:rPr>
        <w:t xml:space="preserve"> </w:t>
      </w:r>
      <w:r w:rsidRPr="0084477F">
        <w:rPr>
          <w:bCs/>
          <w:i/>
          <w:iCs/>
          <w:sz w:val="22"/>
          <w:szCs w:val="22"/>
        </w:rPr>
        <w:t xml:space="preserve">with Dunnett’s C </w:t>
      </w:r>
      <w:proofErr w:type="spellStart"/>
      <w:r w:rsidRPr="0084477F">
        <w:rPr>
          <w:bCs/>
          <w:i/>
          <w:iCs/>
          <w:sz w:val="22"/>
          <w:szCs w:val="22"/>
        </w:rPr>
        <w:t>posthoc</w:t>
      </w:r>
      <w:proofErr w:type="spellEnd"/>
      <w:r w:rsidRPr="0084477F">
        <w:rPr>
          <w:bCs/>
          <w:i/>
          <w:iCs/>
          <w:sz w:val="22"/>
          <w:szCs w:val="22"/>
        </w:rPr>
        <w:t xml:space="preserve"> tests</w:t>
      </w:r>
      <w:r>
        <w:rPr>
          <w:i/>
          <w:iCs/>
          <w:sz w:val="22"/>
          <w:szCs w:val="22"/>
        </w:rPr>
        <w:t xml:space="preserve"> for</w:t>
      </w:r>
      <w:r w:rsidRPr="0084477F">
        <w:rPr>
          <w:i/>
          <w:iCs/>
          <w:sz w:val="22"/>
          <w:szCs w:val="22"/>
        </w:rPr>
        <w:t xml:space="preserve"> EE21 outcomes, controlling for grade and race</w:t>
      </w:r>
      <w:r>
        <w:rPr>
          <w:i/>
          <w:iCs/>
          <w:sz w:val="22"/>
          <w:szCs w:val="22"/>
        </w:rPr>
        <w:t>.</w:t>
      </w:r>
    </w:p>
    <w:tbl>
      <w:tblPr>
        <w:tblW w:w="9541" w:type="dxa"/>
        <w:tblLook w:val="04A0" w:firstRow="1" w:lastRow="0" w:firstColumn="1" w:lastColumn="0" w:noHBand="0" w:noVBand="1"/>
      </w:tblPr>
      <w:tblGrid>
        <w:gridCol w:w="1800"/>
        <w:gridCol w:w="1728"/>
        <w:gridCol w:w="1728"/>
        <w:gridCol w:w="1728"/>
        <w:gridCol w:w="1296"/>
        <w:gridCol w:w="627"/>
        <w:gridCol w:w="634"/>
      </w:tblGrid>
      <w:tr w:rsidR="0001288E" w:rsidRPr="0084477F" w14:paraId="51C90375" w14:textId="77777777" w:rsidTr="001A08FA">
        <w:trPr>
          <w:trHeight w:val="320"/>
        </w:trPr>
        <w:tc>
          <w:tcPr>
            <w:tcW w:w="1800" w:type="dxa"/>
            <w:tcBorders>
              <w:top w:val="single" w:sz="18" w:space="0" w:color="auto"/>
              <w:left w:val="nil"/>
              <w:bottom w:val="nil"/>
              <w:right w:val="nil"/>
            </w:tcBorders>
            <w:shd w:val="clear" w:color="auto" w:fill="auto"/>
            <w:noWrap/>
            <w:vAlign w:val="bottom"/>
            <w:hideMark/>
          </w:tcPr>
          <w:p w14:paraId="7A17B2BD" w14:textId="77777777" w:rsidR="0001288E" w:rsidRPr="0084477F" w:rsidRDefault="0001288E" w:rsidP="001A08FA">
            <w:pPr>
              <w:rPr>
                <w:sz w:val="18"/>
                <w:szCs w:val="18"/>
              </w:rPr>
            </w:pPr>
          </w:p>
        </w:tc>
        <w:tc>
          <w:tcPr>
            <w:tcW w:w="5184" w:type="dxa"/>
            <w:gridSpan w:val="3"/>
            <w:tcBorders>
              <w:top w:val="single" w:sz="18" w:space="0" w:color="auto"/>
              <w:left w:val="nil"/>
              <w:bottom w:val="single" w:sz="8" w:space="0" w:color="auto"/>
              <w:right w:val="nil"/>
            </w:tcBorders>
            <w:shd w:val="clear" w:color="auto" w:fill="auto"/>
            <w:noWrap/>
            <w:vAlign w:val="center"/>
            <w:hideMark/>
          </w:tcPr>
          <w:p w14:paraId="7A30E99A" w14:textId="77777777" w:rsidR="0001288E" w:rsidRPr="0084477F" w:rsidRDefault="0001288E" w:rsidP="001A08FA">
            <w:pPr>
              <w:jc w:val="center"/>
              <w:rPr>
                <w:b/>
                <w:bCs/>
                <w:color w:val="000000"/>
                <w:sz w:val="18"/>
                <w:szCs w:val="18"/>
              </w:rPr>
            </w:pPr>
            <w:r w:rsidRPr="0084477F">
              <w:rPr>
                <w:b/>
                <w:bCs/>
                <w:color w:val="000000"/>
                <w:sz w:val="18"/>
                <w:szCs w:val="18"/>
              </w:rPr>
              <w:t>Sociopolitical context</w:t>
            </w:r>
          </w:p>
        </w:tc>
        <w:tc>
          <w:tcPr>
            <w:tcW w:w="1923" w:type="dxa"/>
            <w:gridSpan w:val="2"/>
            <w:tcBorders>
              <w:top w:val="single" w:sz="18" w:space="0" w:color="auto"/>
              <w:left w:val="nil"/>
              <w:bottom w:val="nil"/>
              <w:right w:val="nil"/>
            </w:tcBorders>
            <w:shd w:val="clear" w:color="auto" w:fill="auto"/>
            <w:noWrap/>
            <w:vAlign w:val="center"/>
            <w:hideMark/>
          </w:tcPr>
          <w:p w14:paraId="417EBD58" w14:textId="77777777" w:rsidR="0001288E" w:rsidRPr="0084477F" w:rsidRDefault="0001288E" w:rsidP="001A08FA">
            <w:pPr>
              <w:jc w:val="center"/>
              <w:rPr>
                <w:b/>
                <w:bCs/>
                <w:sz w:val="18"/>
                <w:szCs w:val="18"/>
              </w:rPr>
            </w:pPr>
          </w:p>
        </w:tc>
        <w:tc>
          <w:tcPr>
            <w:tcW w:w="634" w:type="dxa"/>
            <w:tcBorders>
              <w:top w:val="single" w:sz="18" w:space="0" w:color="auto"/>
              <w:left w:val="nil"/>
              <w:bottom w:val="nil"/>
              <w:right w:val="nil"/>
            </w:tcBorders>
          </w:tcPr>
          <w:p w14:paraId="3632B14F" w14:textId="77777777" w:rsidR="0001288E" w:rsidRPr="0084477F" w:rsidRDefault="0001288E" w:rsidP="001A08FA">
            <w:pPr>
              <w:rPr>
                <w:sz w:val="18"/>
                <w:szCs w:val="18"/>
              </w:rPr>
            </w:pPr>
          </w:p>
        </w:tc>
      </w:tr>
      <w:tr w:rsidR="0001288E" w:rsidRPr="0084477F" w14:paraId="5303923E" w14:textId="77777777" w:rsidTr="001A08FA">
        <w:trPr>
          <w:trHeight w:val="320"/>
        </w:trPr>
        <w:tc>
          <w:tcPr>
            <w:tcW w:w="1800" w:type="dxa"/>
            <w:tcBorders>
              <w:top w:val="nil"/>
              <w:left w:val="nil"/>
              <w:bottom w:val="single" w:sz="8" w:space="0" w:color="auto"/>
              <w:right w:val="nil"/>
            </w:tcBorders>
            <w:shd w:val="clear" w:color="auto" w:fill="auto"/>
            <w:noWrap/>
            <w:vAlign w:val="center"/>
          </w:tcPr>
          <w:p w14:paraId="27967E97" w14:textId="77777777" w:rsidR="0001288E" w:rsidRPr="0084477F" w:rsidRDefault="0001288E" w:rsidP="001A08FA">
            <w:pPr>
              <w:rPr>
                <w:b/>
                <w:bCs/>
                <w:color w:val="000000"/>
                <w:sz w:val="18"/>
                <w:szCs w:val="18"/>
              </w:rPr>
            </w:pPr>
          </w:p>
        </w:tc>
        <w:tc>
          <w:tcPr>
            <w:tcW w:w="1728" w:type="dxa"/>
            <w:tcBorders>
              <w:top w:val="single" w:sz="8" w:space="0" w:color="auto"/>
              <w:left w:val="nil"/>
              <w:bottom w:val="single" w:sz="8" w:space="0" w:color="auto"/>
              <w:right w:val="nil"/>
            </w:tcBorders>
            <w:shd w:val="clear" w:color="auto" w:fill="auto"/>
            <w:noWrap/>
            <w:vAlign w:val="center"/>
          </w:tcPr>
          <w:p w14:paraId="53832D96" w14:textId="77777777" w:rsidR="0001288E" w:rsidRPr="0084477F" w:rsidRDefault="0001288E" w:rsidP="001A08FA">
            <w:pPr>
              <w:jc w:val="center"/>
              <w:rPr>
                <w:b/>
                <w:bCs/>
                <w:color w:val="000000"/>
                <w:sz w:val="18"/>
                <w:szCs w:val="18"/>
              </w:rPr>
            </w:pPr>
            <w:r w:rsidRPr="0084477F">
              <w:rPr>
                <w:b/>
                <w:bCs/>
                <w:color w:val="000000"/>
                <w:sz w:val="18"/>
                <w:szCs w:val="18"/>
              </w:rPr>
              <w:t>Democrat</w:t>
            </w:r>
            <w:r>
              <w:rPr>
                <w:b/>
                <w:bCs/>
                <w:color w:val="000000"/>
                <w:sz w:val="18"/>
                <w:szCs w:val="18"/>
              </w:rPr>
              <w:t>ic</w:t>
            </w:r>
          </w:p>
        </w:tc>
        <w:tc>
          <w:tcPr>
            <w:tcW w:w="1728" w:type="dxa"/>
            <w:tcBorders>
              <w:top w:val="single" w:sz="8" w:space="0" w:color="auto"/>
              <w:left w:val="nil"/>
              <w:bottom w:val="single" w:sz="8" w:space="0" w:color="auto"/>
              <w:right w:val="nil"/>
            </w:tcBorders>
            <w:shd w:val="clear" w:color="auto" w:fill="auto"/>
            <w:noWrap/>
            <w:vAlign w:val="center"/>
          </w:tcPr>
          <w:p w14:paraId="6A78BF50" w14:textId="77777777" w:rsidR="0001288E" w:rsidRPr="0084477F" w:rsidRDefault="0001288E" w:rsidP="001A08FA">
            <w:pPr>
              <w:jc w:val="center"/>
              <w:rPr>
                <w:b/>
                <w:bCs/>
                <w:color w:val="000000"/>
                <w:sz w:val="18"/>
                <w:szCs w:val="18"/>
              </w:rPr>
            </w:pPr>
            <w:r>
              <w:rPr>
                <w:b/>
                <w:bCs/>
                <w:color w:val="000000"/>
                <w:sz w:val="18"/>
                <w:szCs w:val="18"/>
              </w:rPr>
              <w:t>Mixed</w:t>
            </w:r>
          </w:p>
        </w:tc>
        <w:tc>
          <w:tcPr>
            <w:tcW w:w="1728" w:type="dxa"/>
            <w:tcBorders>
              <w:top w:val="single" w:sz="8" w:space="0" w:color="auto"/>
              <w:left w:val="nil"/>
              <w:bottom w:val="single" w:sz="8" w:space="0" w:color="auto"/>
              <w:right w:val="nil"/>
            </w:tcBorders>
            <w:shd w:val="clear" w:color="auto" w:fill="auto"/>
            <w:noWrap/>
            <w:vAlign w:val="center"/>
          </w:tcPr>
          <w:p w14:paraId="35504883" w14:textId="77777777" w:rsidR="0001288E" w:rsidRPr="0084477F" w:rsidRDefault="0001288E" w:rsidP="001A08FA">
            <w:pPr>
              <w:jc w:val="center"/>
              <w:rPr>
                <w:b/>
                <w:bCs/>
                <w:color w:val="000000"/>
                <w:sz w:val="18"/>
                <w:szCs w:val="18"/>
              </w:rPr>
            </w:pPr>
            <w:r w:rsidRPr="0084477F">
              <w:rPr>
                <w:b/>
                <w:bCs/>
                <w:color w:val="000000"/>
                <w:sz w:val="18"/>
                <w:szCs w:val="18"/>
              </w:rPr>
              <w:t>Republican</w:t>
            </w:r>
          </w:p>
        </w:tc>
        <w:tc>
          <w:tcPr>
            <w:tcW w:w="1296" w:type="dxa"/>
            <w:tcBorders>
              <w:top w:val="nil"/>
              <w:left w:val="nil"/>
              <w:bottom w:val="single" w:sz="8" w:space="0" w:color="auto"/>
              <w:right w:val="nil"/>
            </w:tcBorders>
            <w:shd w:val="clear" w:color="auto" w:fill="auto"/>
            <w:noWrap/>
            <w:vAlign w:val="center"/>
          </w:tcPr>
          <w:p w14:paraId="63FAAB5F" w14:textId="77777777" w:rsidR="0001288E" w:rsidRPr="0084477F" w:rsidRDefault="0001288E" w:rsidP="001A08FA">
            <w:pPr>
              <w:jc w:val="center"/>
              <w:rPr>
                <w:b/>
                <w:bCs/>
                <w:color w:val="000000"/>
                <w:sz w:val="18"/>
                <w:szCs w:val="18"/>
              </w:rPr>
            </w:pPr>
            <w:r w:rsidRPr="0084477F">
              <w:rPr>
                <w:b/>
                <w:bCs/>
                <w:color w:val="000000"/>
                <w:sz w:val="18"/>
                <w:szCs w:val="18"/>
              </w:rPr>
              <w:t>Test statistic</w:t>
            </w:r>
          </w:p>
        </w:tc>
        <w:tc>
          <w:tcPr>
            <w:tcW w:w="627" w:type="dxa"/>
            <w:tcBorders>
              <w:top w:val="nil"/>
              <w:left w:val="nil"/>
              <w:bottom w:val="single" w:sz="8" w:space="0" w:color="auto"/>
              <w:right w:val="nil"/>
            </w:tcBorders>
            <w:shd w:val="clear" w:color="auto" w:fill="auto"/>
            <w:noWrap/>
            <w:vAlign w:val="center"/>
          </w:tcPr>
          <w:p w14:paraId="228D36ED" w14:textId="77777777" w:rsidR="0001288E" w:rsidRPr="0084477F" w:rsidRDefault="0001288E" w:rsidP="001A08FA">
            <w:pPr>
              <w:jc w:val="center"/>
              <w:rPr>
                <w:b/>
                <w:bCs/>
                <w:color w:val="000000"/>
                <w:sz w:val="18"/>
                <w:szCs w:val="18"/>
              </w:rPr>
            </w:pPr>
            <w:r w:rsidRPr="0084477F">
              <w:rPr>
                <w:b/>
                <w:bCs/>
                <w:color w:val="000000"/>
                <w:sz w:val="18"/>
                <w:szCs w:val="18"/>
              </w:rPr>
              <w:t>p</w:t>
            </w:r>
          </w:p>
        </w:tc>
        <w:tc>
          <w:tcPr>
            <w:tcW w:w="634" w:type="dxa"/>
            <w:tcBorders>
              <w:top w:val="nil"/>
              <w:left w:val="nil"/>
              <w:bottom w:val="single" w:sz="8" w:space="0" w:color="auto"/>
              <w:right w:val="nil"/>
            </w:tcBorders>
            <w:vAlign w:val="center"/>
          </w:tcPr>
          <w:p w14:paraId="1E80ECA7" w14:textId="77777777" w:rsidR="0001288E" w:rsidRPr="00307FDE" w:rsidRDefault="0001288E" w:rsidP="001A08FA">
            <w:pPr>
              <w:jc w:val="center"/>
              <w:rPr>
                <w:b/>
                <w:bCs/>
                <w:color w:val="000000"/>
                <w:sz w:val="18"/>
                <w:szCs w:val="18"/>
              </w:rPr>
            </w:pPr>
            <w:r w:rsidRPr="00307FDE">
              <w:rPr>
                <w:b/>
                <w:bCs/>
                <w:sz w:val="18"/>
                <w:szCs w:val="18"/>
              </w:rPr>
              <w:t>η</w:t>
            </w:r>
            <w:r w:rsidRPr="00307FDE">
              <w:rPr>
                <w:b/>
                <w:bCs/>
                <w:sz w:val="18"/>
                <w:szCs w:val="18"/>
                <w:vertAlign w:val="superscript"/>
              </w:rPr>
              <w:t>2</w:t>
            </w:r>
          </w:p>
        </w:tc>
      </w:tr>
      <w:tr w:rsidR="0001288E" w:rsidRPr="0084477F" w14:paraId="5379D640" w14:textId="77777777" w:rsidTr="001A08FA">
        <w:trPr>
          <w:trHeight w:val="320"/>
        </w:trPr>
        <w:tc>
          <w:tcPr>
            <w:tcW w:w="1800" w:type="dxa"/>
            <w:tcBorders>
              <w:left w:val="nil"/>
              <w:bottom w:val="nil"/>
              <w:right w:val="nil"/>
            </w:tcBorders>
            <w:shd w:val="clear" w:color="auto" w:fill="auto"/>
            <w:noWrap/>
            <w:vAlign w:val="center"/>
            <w:hideMark/>
          </w:tcPr>
          <w:p w14:paraId="4B0E2A9E" w14:textId="77777777" w:rsidR="0001288E" w:rsidRPr="0084477F" w:rsidRDefault="0001288E" w:rsidP="001A08FA">
            <w:pPr>
              <w:rPr>
                <w:color w:val="000000"/>
                <w:sz w:val="18"/>
                <w:szCs w:val="18"/>
              </w:rPr>
            </w:pPr>
            <w:r w:rsidRPr="0084477F">
              <w:rPr>
                <w:i/>
                <w:iCs/>
                <w:color w:val="000000"/>
                <w:sz w:val="18"/>
                <w:szCs w:val="18"/>
              </w:rPr>
              <w:t>10-point landslide (</w:t>
            </w:r>
            <w:r>
              <w:rPr>
                <w:i/>
                <w:iCs/>
                <w:color w:val="000000"/>
                <w:sz w:val="18"/>
                <w:szCs w:val="18"/>
              </w:rPr>
              <w:t>n</w:t>
            </w:r>
            <w:r w:rsidRPr="0084477F">
              <w:rPr>
                <w:i/>
                <w:iCs/>
                <w:color w:val="000000"/>
                <w:sz w:val="18"/>
                <w:szCs w:val="18"/>
              </w:rPr>
              <w:t>)</w:t>
            </w:r>
          </w:p>
        </w:tc>
        <w:tc>
          <w:tcPr>
            <w:tcW w:w="1728" w:type="dxa"/>
            <w:tcBorders>
              <w:left w:val="nil"/>
              <w:bottom w:val="nil"/>
              <w:right w:val="nil"/>
            </w:tcBorders>
            <w:shd w:val="clear" w:color="auto" w:fill="auto"/>
            <w:noWrap/>
            <w:vAlign w:val="center"/>
            <w:hideMark/>
          </w:tcPr>
          <w:p w14:paraId="7985BDEC" w14:textId="77777777" w:rsidR="0001288E" w:rsidRPr="0084477F" w:rsidRDefault="0001288E" w:rsidP="001A08FA">
            <w:pPr>
              <w:jc w:val="center"/>
              <w:rPr>
                <w:i/>
                <w:iCs/>
                <w:color w:val="000000"/>
                <w:sz w:val="18"/>
                <w:szCs w:val="18"/>
              </w:rPr>
            </w:pPr>
            <w:r w:rsidRPr="0084477F">
              <w:rPr>
                <w:i/>
                <w:iCs/>
                <w:color w:val="000000"/>
                <w:sz w:val="18"/>
                <w:szCs w:val="18"/>
              </w:rPr>
              <w:t>(108)</w:t>
            </w:r>
          </w:p>
        </w:tc>
        <w:tc>
          <w:tcPr>
            <w:tcW w:w="1728" w:type="dxa"/>
            <w:tcBorders>
              <w:left w:val="nil"/>
              <w:bottom w:val="nil"/>
              <w:right w:val="nil"/>
            </w:tcBorders>
            <w:shd w:val="clear" w:color="auto" w:fill="auto"/>
            <w:noWrap/>
            <w:vAlign w:val="center"/>
            <w:hideMark/>
          </w:tcPr>
          <w:p w14:paraId="1AD3EE5D" w14:textId="77777777" w:rsidR="0001288E" w:rsidRPr="0084477F" w:rsidRDefault="0001288E" w:rsidP="001A08FA">
            <w:pPr>
              <w:jc w:val="center"/>
              <w:rPr>
                <w:i/>
                <w:iCs/>
                <w:color w:val="000000"/>
                <w:sz w:val="18"/>
                <w:szCs w:val="18"/>
              </w:rPr>
            </w:pPr>
            <w:r w:rsidRPr="0084477F">
              <w:rPr>
                <w:i/>
                <w:iCs/>
                <w:color w:val="000000"/>
                <w:sz w:val="18"/>
                <w:szCs w:val="18"/>
              </w:rPr>
              <w:t>(48)</w:t>
            </w:r>
          </w:p>
        </w:tc>
        <w:tc>
          <w:tcPr>
            <w:tcW w:w="1728" w:type="dxa"/>
            <w:tcBorders>
              <w:left w:val="nil"/>
              <w:bottom w:val="nil"/>
              <w:right w:val="nil"/>
            </w:tcBorders>
            <w:shd w:val="clear" w:color="auto" w:fill="auto"/>
            <w:noWrap/>
            <w:vAlign w:val="center"/>
            <w:hideMark/>
          </w:tcPr>
          <w:p w14:paraId="4F6C215A" w14:textId="77777777" w:rsidR="0001288E" w:rsidRPr="0084477F" w:rsidRDefault="0001288E" w:rsidP="001A08FA">
            <w:pPr>
              <w:jc w:val="center"/>
              <w:rPr>
                <w:i/>
                <w:iCs/>
                <w:color w:val="000000"/>
                <w:sz w:val="18"/>
                <w:szCs w:val="18"/>
              </w:rPr>
            </w:pPr>
            <w:r w:rsidRPr="0084477F">
              <w:rPr>
                <w:i/>
                <w:iCs/>
                <w:color w:val="000000"/>
                <w:sz w:val="18"/>
                <w:szCs w:val="18"/>
              </w:rPr>
              <w:t>(79)</w:t>
            </w:r>
          </w:p>
        </w:tc>
        <w:tc>
          <w:tcPr>
            <w:tcW w:w="1296" w:type="dxa"/>
            <w:tcBorders>
              <w:left w:val="nil"/>
              <w:bottom w:val="nil"/>
              <w:right w:val="nil"/>
            </w:tcBorders>
            <w:shd w:val="clear" w:color="auto" w:fill="auto"/>
            <w:noWrap/>
            <w:vAlign w:val="center"/>
            <w:hideMark/>
          </w:tcPr>
          <w:p w14:paraId="0248630C" w14:textId="77777777" w:rsidR="0001288E" w:rsidRPr="0084477F" w:rsidRDefault="0001288E" w:rsidP="001A08FA">
            <w:pPr>
              <w:jc w:val="center"/>
              <w:rPr>
                <w:b/>
                <w:bCs/>
                <w:color w:val="000000"/>
                <w:sz w:val="18"/>
                <w:szCs w:val="18"/>
              </w:rPr>
            </w:pPr>
          </w:p>
        </w:tc>
        <w:tc>
          <w:tcPr>
            <w:tcW w:w="627" w:type="dxa"/>
            <w:tcBorders>
              <w:left w:val="nil"/>
              <w:bottom w:val="nil"/>
              <w:right w:val="nil"/>
            </w:tcBorders>
            <w:shd w:val="clear" w:color="auto" w:fill="auto"/>
            <w:noWrap/>
            <w:vAlign w:val="center"/>
            <w:hideMark/>
          </w:tcPr>
          <w:p w14:paraId="2E0C85AC" w14:textId="77777777" w:rsidR="0001288E" w:rsidRPr="0084477F" w:rsidRDefault="0001288E" w:rsidP="001A08FA">
            <w:pPr>
              <w:jc w:val="center"/>
              <w:rPr>
                <w:b/>
                <w:bCs/>
                <w:sz w:val="18"/>
                <w:szCs w:val="18"/>
              </w:rPr>
            </w:pPr>
          </w:p>
        </w:tc>
        <w:tc>
          <w:tcPr>
            <w:tcW w:w="634" w:type="dxa"/>
            <w:tcBorders>
              <w:left w:val="nil"/>
              <w:bottom w:val="nil"/>
              <w:right w:val="nil"/>
            </w:tcBorders>
            <w:vAlign w:val="center"/>
          </w:tcPr>
          <w:p w14:paraId="3170E7D0" w14:textId="77777777" w:rsidR="0001288E" w:rsidRPr="0084477F" w:rsidRDefault="0001288E" w:rsidP="001A08FA">
            <w:pPr>
              <w:jc w:val="center"/>
              <w:rPr>
                <w:b/>
                <w:bCs/>
                <w:sz w:val="18"/>
                <w:szCs w:val="18"/>
              </w:rPr>
            </w:pPr>
          </w:p>
        </w:tc>
      </w:tr>
      <w:tr w:rsidR="0001288E" w:rsidRPr="0084477F" w14:paraId="2D5C6D22" w14:textId="77777777" w:rsidTr="001A08FA">
        <w:trPr>
          <w:trHeight w:val="320"/>
        </w:trPr>
        <w:tc>
          <w:tcPr>
            <w:tcW w:w="1800" w:type="dxa"/>
            <w:tcBorders>
              <w:top w:val="nil"/>
              <w:left w:val="nil"/>
              <w:bottom w:val="single" w:sz="8" w:space="0" w:color="auto"/>
              <w:right w:val="nil"/>
            </w:tcBorders>
            <w:shd w:val="clear" w:color="auto" w:fill="auto"/>
            <w:noWrap/>
            <w:vAlign w:val="center"/>
            <w:hideMark/>
          </w:tcPr>
          <w:p w14:paraId="041D3E3B" w14:textId="77777777" w:rsidR="0001288E" w:rsidRPr="0084477F" w:rsidRDefault="0001288E" w:rsidP="001A08FA">
            <w:pPr>
              <w:rPr>
                <w:color w:val="000000"/>
                <w:sz w:val="18"/>
                <w:szCs w:val="18"/>
              </w:rPr>
            </w:pPr>
            <w:r w:rsidRPr="0084477F">
              <w:rPr>
                <w:color w:val="000000"/>
                <w:sz w:val="18"/>
                <w:szCs w:val="18"/>
              </w:rPr>
              <w:t>EE21</w:t>
            </w:r>
          </w:p>
        </w:tc>
        <w:tc>
          <w:tcPr>
            <w:tcW w:w="1728" w:type="dxa"/>
            <w:tcBorders>
              <w:top w:val="nil"/>
              <w:left w:val="nil"/>
              <w:bottom w:val="single" w:sz="8" w:space="0" w:color="auto"/>
              <w:right w:val="nil"/>
            </w:tcBorders>
            <w:shd w:val="clear" w:color="auto" w:fill="auto"/>
            <w:noWrap/>
            <w:vAlign w:val="center"/>
            <w:hideMark/>
          </w:tcPr>
          <w:p w14:paraId="70E8FCE7" w14:textId="77777777" w:rsidR="0001288E" w:rsidRPr="0084477F" w:rsidRDefault="0001288E" w:rsidP="001A08FA">
            <w:pPr>
              <w:jc w:val="center"/>
              <w:rPr>
                <w:color w:val="000000"/>
                <w:sz w:val="18"/>
                <w:szCs w:val="18"/>
              </w:rPr>
            </w:pPr>
            <w:r w:rsidRPr="0084477F">
              <w:rPr>
                <w:color w:val="000000"/>
                <w:sz w:val="18"/>
                <w:szCs w:val="18"/>
              </w:rPr>
              <w:t>-0.0</w:t>
            </w:r>
            <w:r>
              <w:rPr>
                <w:color w:val="000000"/>
                <w:sz w:val="18"/>
                <w:szCs w:val="18"/>
              </w:rPr>
              <w:t>7</w:t>
            </w:r>
          </w:p>
        </w:tc>
        <w:tc>
          <w:tcPr>
            <w:tcW w:w="1728" w:type="dxa"/>
            <w:tcBorders>
              <w:top w:val="nil"/>
              <w:left w:val="nil"/>
              <w:bottom w:val="single" w:sz="8" w:space="0" w:color="auto"/>
              <w:right w:val="nil"/>
            </w:tcBorders>
            <w:shd w:val="clear" w:color="auto" w:fill="auto"/>
            <w:noWrap/>
            <w:vAlign w:val="center"/>
            <w:hideMark/>
          </w:tcPr>
          <w:p w14:paraId="353B0ED9" w14:textId="77777777" w:rsidR="0001288E" w:rsidRPr="0084477F" w:rsidRDefault="0001288E" w:rsidP="001A08FA">
            <w:pPr>
              <w:jc w:val="center"/>
              <w:rPr>
                <w:color w:val="000000"/>
                <w:sz w:val="18"/>
                <w:szCs w:val="18"/>
              </w:rPr>
            </w:pPr>
            <w:r w:rsidRPr="0084477F">
              <w:rPr>
                <w:color w:val="000000"/>
                <w:sz w:val="18"/>
                <w:szCs w:val="18"/>
              </w:rPr>
              <w:t>0.</w:t>
            </w:r>
            <w:r>
              <w:rPr>
                <w:color w:val="000000"/>
                <w:sz w:val="18"/>
                <w:szCs w:val="18"/>
              </w:rPr>
              <w:t>05</w:t>
            </w:r>
          </w:p>
        </w:tc>
        <w:tc>
          <w:tcPr>
            <w:tcW w:w="1728" w:type="dxa"/>
            <w:tcBorders>
              <w:top w:val="nil"/>
              <w:left w:val="nil"/>
              <w:bottom w:val="single" w:sz="8" w:space="0" w:color="auto"/>
              <w:right w:val="nil"/>
            </w:tcBorders>
            <w:shd w:val="clear" w:color="auto" w:fill="auto"/>
            <w:noWrap/>
            <w:vAlign w:val="center"/>
            <w:hideMark/>
          </w:tcPr>
          <w:p w14:paraId="35B56816" w14:textId="77777777" w:rsidR="0001288E" w:rsidRPr="0084477F" w:rsidRDefault="0001288E" w:rsidP="001A08FA">
            <w:pPr>
              <w:jc w:val="center"/>
              <w:rPr>
                <w:color w:val="000000"/>
                <w:sz w:val="18"/>
                <w:szCs w:val="18"/>
              </w:rPr>
            </w:pPr>
            <w:r>
              <w:rPr>
                <w:color w:val="000000"/>
                <w:sz w:val="18"/>
                <w:szCs w:val="18"/>
              </w:rPr>
              <w:t>0.07</w:t>
            </w:r>
          </w:p>
        </w:tc>
        <w:tc>
          <w:tcPr>
            <w:tcW w:w="1296" w:type="dxa"/>
            <w:tcBorders>
              <w:top w:val="nil"/>
              <w:left w:val="nil"/>
              <w:bottom w:val="single" w:sz="8" w:space="0" w:color="auto"/>
              <w:right w:val="nil"/>
            </w:tcBorders>
            <w:shd w:val="clear" w:color="auto" w:fill="auto"/>
            <w:noWrap/>
            <w:vAlign w:val="center"/>
            <w:hideMark/>
          </w:tcPr>
          <w:p w14:paraId="0B66D1E3" w14:textId="77777777" w:rsidR="0001288E" w:rsidRPr="0084477F" w:rsidRDefault="0001288E" w:rsidP="001A08FA">
            <w:pPr>
              <w:jc w:val="center"/>
              <w:rPr>
                <w:color w:val="000000"/>
                <w:sz w:val="18"/>
                <w:szCs w:val="18"/>
              </w:rPr>
            </w:pPr>
            <w:r>
              <w:rPr>
                <w:color w:val="000000"/>
                <w:sz w:val="18"/>
                <w:szCs w:val="18"/>
              </w:rPr>
              <w:t>F: 0.882</w:t>
            </w:r>
          </w:p>
        </w:tc>
        <w:tc>
          <w:tcPr>
            <w:tcW w:w="627" w:type="dxa"/>
            <w:tcBorders>
              <w:top w:val="nil"/>
              <w:left w:val="nil"/>
              <w:bottom w:val="single" w:sz="8" w:space="0" w:color="auto"/>
              <w:right w:val="nil"/>
            </w:tcBorders>
            <w:shd w:val="clear" w:color="auto" w:fill="auto"/>
            <w:noWrap/>
            <w:vAlign w:val="center"/>
            <w:hideMark/>
          </w:tcPr>
          <w:p w14:paraId="028EA64B" w14:textId="77777777" w:rsidR="0001288E" w:rsidRPr="0084477F" w:rsidRDefault="0001288E" w:rsidP="001A08FA">
            <w:pPr>
              <w:jc w:val="center"/>
              <w:rPr>
                <w:color w:val="000000"/>
                <w:sz w:val="18"/>
                <w:szCs w:val="18"/>
              </w:rPr>
            </w:pPr>
            <w:r>
              <w:rPr>
                <w:color w:val="000000"/>
                <w:sz w:val="18"/>
                <w:szCs w:val="18"/>
              </w:rPr>
              <w:t>0.415</w:t>
            </w:r>
          </w:p>
        </w:tc>
        <w:tc>
          <w:tcPr>
            <w:tcW w:w="634" w:type="dxa"/>
            <w:tcBorders>
              <w:top w:val="nil"/>
              <w:left w:val="nil"/>
              <w:bottom w:val="single" w:sz="8" w:space="0" w:color="auto"/>
              <w:right w:val="nil"/>
            </w:tcBorders>
            <w:vAlign w:val="center"/>
          </w:tcPr>
          <w:p w14:paraId="358E40E5" w14:textId="77777777" w:rsidR="0001288E" w:rsidRDefault="0001288E" w:rsidP="001A08FA">
            <w:pPr>
              <w:jc w:val="center"/>
              <w:rPr>
                <w:color w:val="000000"/>
                <w:sz w:val="18"/>
                <w:szCs w:val="18"/>
              </w:rPr>
            </w:pPr>
            <w:r>
              <w:rPr>
                <w:color w:val="000000"/>
                <w:sz w:val="18"/>
                <w:szCs w:val="18"/>
              </w:rPr>
              <w:t>0.008</w:t>
            </w:r>
          </w:p>
        </w:tc>
      </w:tr>
      <w:tr w:rsidR="0001288E" w:rsidRPr="0084477F" w14:paraId="4B365643" w14:textId="77777777" w:rsidTr="001A08FA">
        <w:trPr>
          <w:trHeight w:val="320"/>
        </w:trPr>
        <w:tc>
          <w:tcPr>
            <w:tcW w:w="1800" w:type="dxa"/>
            <w:tcBorders>
              <w:left w:val="nil"/>
              <w:right w:val="nil"/>
            </w:tcBorders>
            <w:shd w:val="clear" w:color="auto" w:fill="auto"/>
            <w:noWrap/>
            <w:vAlign w:val="center"/>
            <w:hideMark/>
          </w:tcPr>
          <w:p w14:paraId="4DD376F6" w14:textId="77777777" w:rsidR="0001288E" w:rsidRPr="0084477F" w:rsidRDefault="0001288E" w:rsidP="001A08FA">
            <w:pPr>
              <w:rPr>
                <w:i/>
                <w:sz w:val="18"/>
                <w:szCs w:val="18"/>
              </w:rPr>
            </w:pPr>
            <w:r w:rsidRPr="0084477F">
              <w:rPr>
                <w:i/>
                <w:color w:val="000000"/>
                <w:sz w:val="18"/>
                <w:szCs w:val="18"/>
              </w:rPr>
              <w:t>20-point landslide</w:t>
            </w:r>
            <w:r w:rsidRPr="0084477F">
              <w:rPr>
                <w:i/>
                <w:sz w:val="18"/>
                <w:szCs w:val="18"/>
              </w:rPr>
              <w:t xml:space="preserve"> (</w:t>
            </w:r>
            <w:r>
              <w:rPr>
                <w:i/>
                <w:sz w:val="18"/>
                <w:szCs w:val="18"/>
              </w:rPr>
              <w:t>n</w:t>
            </w:r>
            <w:r w:rsidRPr="0084477F">
              <w:rPr>
                <w:i/>
                <w:sz w:val="18"/>
                <w:szCs w:val="18"/>
              </w:rPr>
              <w:t>)</w:t>
            </w:r>
          </w:p>
        </w:tc>
        <w:tc>
          <w:tcPr>
            <w:tcW w:w="1728" w:type="dxa"/>
            <w:tcBorders>
              <w:left w:val="nil"/>
              <w:right w:val="nil"/>
            </w:tcBorders>
            <w:shd w:val="clear" w:color="auto" w:fill="auto"/>
            <w:noWrap/>
            <w:vAlign w:val="center"/>
            <w:hideMark/>
          </w:tcPr>
          <w:p w14:paraId="44878B64" w14:textId="77777777" w:rsidR="0001288E" w:rsidRPr="0084477F" w:rsidRDefault="0001288E" w:rsidP="001A08FA">
            <w:pPr>
              <w:jc w:val="center"/>
              <w:rPr>
                <w:i/>
                <w:iCs/>
                <w:color w:val="000000"/>
                <w:sz w:val="18"/>
                <w:szCs w:val="18"/>
              </w:rPr>
            </w:pPr>
            <w:r w:rsidRPr="0084477F">
              <w:rPr>
                <w:i/>
                <w:iCs/>
                <w:color w:val="000000"/>
                <w:sz w:val="18"/>
                <w:szCs w:val="18"/>
              </w:rPr>
              <w:t>(95)</w:t>
            </w:r>
          </w:p>
        </w:tc>
        <w:tc>
          <w:tcPr>
            <w:tcW w:w="1728" w:type="dxa"/>
            <w:tcBorders>
              <w:left w:val="nil"/>
              <w:right w:val="nil"/>
            </w:tcBorders>
            <w:shd w:val="clear" w:color="auto" w:fill="auto"/>
            <w:noWrap/>
            <w:vAlign w:val="center"/>
            <w:hideMark/>
          </w:tcPr>
          <w:p w14:paraId="1EFB54DF" w14:textId="77777777" w:rsidR="0001288E" w:rsidRPr="0084477F" w:rsidRDefault="0001288E" w:rsidP="001A08FA">
            <w:pPr>
              <w:jc w:val="center"/>
              <w:rPr>
                <w:i/>
                <w:iCs/>
                <w:color w:val="000000"/>
                <w:sz w:val="18"/>
                <w:szCs w:val="18"/>
              </w:rPr>
            </w:pPr>
            <w:r w:rsidRPr="0084477F">
              <w:rPr>
                <w:i/>
                <w:iCs/>
                <w:color w:val="000000"/>
                <w:sz w:val="18"/>
                <w:szCs w:val="18"/>
              </w:rPr>
              <w:t>(82)</w:t>
            </w:r>
          </w:p>
        </w:tc>
        <w:tc>
          <w:tcPr>
            <w:tcW w:w="1728" w:type="dxa"/>
            <w:tcBorders>
              <w:left w:val="nil"/>
              <w:right w:val="nil"/>
            </w:tcBorders>
            <w:shd w:val="clear" w:color="auto" w:fill="auto"/>
            <w:noWrap/>
            <w:vAlign w:val="center"/>
            <w:hideMark/>
          </w:tcPr>
          <w:p w14:paraId="2AF3A4D0" w14:textId="77777777" w:rsidR="0001288E" w:rsidRPr="0084477F" w:rsidRDefault="0001288E" w:rsidP="001A08FA">
            <w:pPr>
              <w:jc w:val="center"/>
              <w:rPr>
                <w:i/>
                <w:iCs/>
                <w:color w:val="000000"/>
                <w:sz w:val="18"/>
                <w:szCs w:val="18"/>
              </w:rPr>
            </w:pPr>
            <w:r w:rsidRPr="0084477F">
              <w:rPr>
                <w:i/>
                <w:iCs/>
                <w:color w:val="000000"/>
                <w:sz w:val="18"/>
                <w:szCs w:val="18"/>
              </w:rPr>
              <w:t>(58)</w:t>
            </w:r>
          </w:p>
        </w:tc>
        <w:tc>
          <w:tcPr>
            <w:tcW w:w="1296" w:type="dxa"/>
            <w:tcBorders>
              <w:left w:val="nil"/>
              <w:right w:val="nil"/>
            </w:tcBorders>
            <w:shd w:val="clear" w:color="auto" w:fill="auto"/>
            <w:noWrap/>
            <w:vAlign w:val="center"/>
            <w:hideMark/>
          </w:tcPr>
          <w:p w14:paraId="60068312" w14:textId="77777777" w:rsidR="0001288E" w:rsidRPr="0084477F" w:rsidRDefault="0001288E" w:rsidP="001A08FA">
            <w:pPr>
              <w:jc w:val="center"/>
              <w:rPr>
                <w:color w:val="000000"/>
                <w:sz w:val="18"/>
                <w:szCs w:val="18"/>
              </w:rPr>
            </w:pPr>
          </w:p>
        </w:tc>
        <w:tc>
          <w:tcPr>
            <w:tcW w:w="627" w:type="dxa"/>
            <w:tcBorders>
              <w:left w:val="nil"/>
              <w:right w:val="nil"/>
            </w:tcBorders>
            <w:shd w:val="clear" w:color="auto" w:fill="auto"/>
            <w:noWrap/>
            <w:vAlign w:val="center"/>
            <w:hideMark/>
          </w:tcPr>
          <w:p w14:paraId="74DF3CA0" w14:textId="77777777" w:rsidR="0001288E" w:rsidRPr="0084477F" w:rsidRDefault="0001288E" w:rsidP="001A08FA">
            <w:pPr>
              <w:jc w:val="center"/>
              <w:rPr>
                <w:sz w:val="18"/>
                <w:szCs w:val="18"/>
              </w:rPr>
            </w:pPr>
          </w:p>
        </w:tc>
        <w:tc>
          <w:tcPr>
            <w:tcW w:w="634" w:type="dxa"/>
            <w:tcBorders>
              <w:left w:val="nil"/>
              <w:right w:val="nil"/>
            </w:tcBorders>
            <w:vAlign w:val="center"/>
          </w:tcPr>
          <w:p w14:paraId="3325C654" w14:textId="77777777" w:rsidR="0001288E" w:rsidRPr="0084477F" w:rsidRDefault="0001288E" w:rsidP="001A08FA">
            <w:pPr>
              <w:jc w:val="center"/>
              <w:rPr>
                <w:sz w:val="18"/>
                <w:szCs w:val="18"/>
              </w:rPr>
            </w:pPr>
          </w:p>
        </w:tc>
      </w:tr>
      <w:tr w:rsidR="0001288E" w:rsidRPr="0084477F" w14:paraId="6EB13465" w14:textId="77777777" w:rsidTr="001A08FA">
        <w:trPr>
          <w:trHeight w:val="320"/>
        </w:trPr>
        <w:tc>
          <w:tcPr>
            <w:tcW w:w="1800" w:type="dxa"/>
            <w:tcBorders>
              <w:top w:val="nil"/>
              <w:left w:val="nil"/>
              <w:bottom w:val="single" w:sz="18" w:space="0" w:color="auto"/>
              <w:right w:val="nil"/>
            </w:tcBorders>
            <w:shd w:val="clear" w:color="auto" w:fill="auto"/>
            <w:noWrap/>
            <w:vAlign w:val="center"/>
            <w:hideMark/>
          </w:tcPr>
          <w:p w14:paraId="7E9828B2" w14:textId="77777777" w:rsidR="0001288E" w:rsidRPr="0084477F" w:rsidRDefault="0001288E" w:rsidP="001A08FA">
            <w:pPr>
              <w:rPr>
                <w:color w:val="000000"/>
                <w:sz w:val="18"/>
                <w:szCs w:val="18"/>
              </w:rPr>
            </w:pPr>
            <w:r w:rsidRPr="0084477F">
              <w:rPr>
                <w:color w:val="000000"/>
                <w:sz w:val="18"/>
                <w:szCs w:val="18"/>
              </w:rPr>
              <w:t>EE21</w:t>
            </w:r>
          </w:p>
        </w:tc>
        <w:tc>
          <w:tcPr>
            <w:tcW w:w="1728" w:type="dxa"/>
            <w:tcBorders>
              <w:top w:val="nil"/>
              <w:left w:val="nil"/>
              <w:bottom w:val="single" w:sz="18" w:space="0" w:color="auto"/>
              <w:right w:val="nil"/>
            </w:tcBorders>
            <w:shd w:val="clear" w:color="auto" w:fill="auto"/>
            <w:noWrap/>
            <w:vAlign w:val="center"/>
            <w:hideMark/>
          </w:tcPr>
          <w:p w14:paraId="2E5E2522" w14:textId="77777777" w:rsidR="0001288E" w:rsidRPr="0084477F" w:rsidRDefault="0001288E" w:rsidP="001A08FA">
            <w:pPr>
              <w:jc w:val="center"/>
              <w:rPr>
                <w:color w:val="000000"/>
                <w:sz w:val="18"/>
                <w:szCs w:val="18"/>
              </w:rPr>
            </w:pPr>
            <w:r w:rsidRPr="0084477F">
              <w:rPr>
                <w:color w:val="000000"/>
                <w:sz w:val="18"/>
                <w:szCs w:val="18"/>
              </w:rPr>
              <w:t>-0.0</w:t>
            </w:r>
            <w:r>
              <w:rPr>
                <w:color w:val="000000"/>
                <w:sz w:val="18"/>
                <w:szCs w:val="18"/>
              </w:rPr>
              <w:t>9</w:t>
            </w:r>
            <w:r w:rsidRPr="0084477F">
              <w:rPr>
                <w:color w:val="000000"/>
                <w:sz w:val="18"/>
                <w:szCs w:val="18"/>
                <w:vertAlign w:val="superscript"/>
              </w:rPr>
              <w:t>a</w:t>
            </w:r>
          </w:p>
        </w:tc>
        <w:tc>
          <w:tcPr>
            <w:tcW w:w="1728" w:type="dxa"/>
            <w:tcBorders>
              <w:top w:val="nil"/>
              <w:left w:val="nil"/>
              <w:bottom w:val="single" w:sz="18" w:space="0" w:color="auto"/>
              <w:right w:val="nil"/>
            </w:tcBorders>
            <w:shd w:val="clear" w:color="auto" w:fill="auto"/>
            <w:noWrap/>
            <w:vAlign w:val="center"/>
            <w:hideMark/>
          </w:tcPr>
          <w:p w14:paraId="6CC3558D" w14:textId="77777777" w:rsidR="0001288E" w:rsidRPr="0084477F" w:rsidRDefault="0001288E" w:rsidP="001A08FA">
            <w:pPr>
              <w:jc w:val="center"/>
              <w:rPr>
                <w:color w:val="000000"/>
                <w:sz w:val="18"/>
                <w:szCs w:val="18"/>
              </w:rPr>
            </w:pPr>
            <w:r>
              <w:rPr>
                <w:color w:val="000000"/>
                <w:sz w:val="18"/>
                <w:szCs w:val="18"/>
              </w:rPr>
              <w:t>-</w:t>
            </w:r>
            <w:r w:rsidRPr="0084477F">
              <w:rPr>
                <w:color w:val="000000"/>
                <w:sz w:val="18"/>
                <w:szCs w:val="18"/>
              </w:rPr>
              <w:t>0.0</w:t>
            </w:r>
            <w:r>
              <w:rPr>
                <w:color w:val="000000"/>
                <w:sz w:val="18"/>
                <w:szCs w:val="18"/>
              </w:rPr>
              <w:t>5</w:t>
            </w:r>
            <w:r w:rsidRPr="0084477F">
              <w:rPr>
                <w:color w:val="000000"/>
                <w:sz w:val="18"/>
                <w:szCs w:val="18"/>
                <w:vertAlign w:val="superscript"/>
              </w:rPr>
              <w:t>a</w:t>
            </w:r>
          </w:p>
        </w:tc>
        <w:tc>
          <w:tcPr>
            <w:tcW w:w="1728" w:type="dxa"/>
            <w:tcBorders>
              <w:top w:val="nil"/>
              <w:left w:val="nil"/>
              <w:bottom w:val="single" w:sz="18" w:space="0" w:color="auto"/>
              <w:right w:val="nil"/>
            </w:tcBorders>
            <w:shd w:val="clear" w:color="auto" w:fill="auto"/>
            <w:noWrap/>
            <w:vAlign w:val="center"/>
            <w:hideMark/>
          </w:tcPr>
          <w:p w14:paraId="1CB5F803" w14:textId="77777777" w:rsidR="0001288E" w:rsidRPr="0084477F" w:rsidRDefault="0001288E" w:rsidP="001A08FA">
            <w:pPr>
              <w:jc w:val="center"/>
              <w:rPr>
                <w:color w:val="000000"/>
                <w:sz w:val="18"/>
                <w:szCs w:val="18"/>
              </w:rPr>
            </w:pPr>
            <w:r w:rsidRPr="0084477F">
              <w:rPr>
                <w:color w:val="000000"/>
                <w:sz w:val="18"/>
                <w:szCs w:val="18"/>
              </w:rPr>
              <w:t>0.2</w:t>
            </w:r>
            <w:r>
              <w:rPr>
                <w:color w:val="000000"/>
                <w:sz w:val="18"/>
                <w:szCs w:val="18"/>
              </w:rPr>
              <w:t>3</w:t>
            </w:r>
            <w:r w:rsidRPr="0084477F">
              <w:rPr>
                <w:color w:val="000000"/>
                <w:sz w:val="18"/>
                <w:szCs w:val="18"/>
                <w:vertAlign w:val="superscript"/>
              </w:rPr>
              <w:t>b</w:t>
            </w:r>
          </w:p>
        </w:tc>
        <w:tc>
          <w:tcPr>
            <w:tcW w:w="1296" w:type="dxa"/>
            <w:tcBorders>
              <w:top w:val="nil"/>
              <w:left w:val="nil"/>
              <w:bottom w:val="single" w:sz="18" w:space="0" w:color="auto"/>
              <w:right w:val="nil"/>
            </w:tcBorders>
            <w:shd w:val="clear" w:color="auto" w:fill="auto"/>
            <w:noWrap/>
            <w:vAlign w:val="center"/>
            <w:hideMark/>
          </w:tcPr>
          <w:p w14:paraId="0BF85340" w14:textId="77777777" w:rsidR="0001288E" w:rsidRPr="0084477F" w:rsidRDefault="0001288E" w:rsidP="001A08FA">
            <w:pPr>
              <w:jc w:val="center"/>
              <w:rPr>
                <w:color w:val="000000"/>
                <w:sz w:val="18"/>
                <w:szCs w:val="18"/>
              </w:rPr>
            </w:pPr>
            <w:r w:rsidRPr="0084477F">
              <w:rPr>
                <w:color w:val="000000"/>
                <w:sz w:val="18"/>
                <w:szCs w:val="18"/>
              </w:rPr>
              <w:t>F: 3.</w:t>
            </w:r>
            <w:r>
              <w:rPr>
                <w:color w:val="000000"/>
                <w:sz w:val="18"/>
                <w:szCs w:val="18"/>
              </w:rPr>
              <w:t>63</w:t>
            </w:r>
          </w:p>
        </w:tc>
        <w:tc>
          <w:tcPr>
            <w:tcW w:w="627" w:type="dxa"/>
            <w:tcBorders>
              <w:top w:val="nil"/>
              <w:left w:val="nil"/>
              <w:bottom w:val="single" w:sz="18" w:space="0" w:color="auto"/>
              <w:right w:val="nil"/>
            </w:tcBorders>
            <w:shd w:val="clear" w:color="auto" w:fill="auto"/>
            <w:noWrap/>
            <w:vAlign w:val="center"/>
            <w:hideMark/>
          </w:tcPr>
          <w:p w14:paraId="509E6EA7" w14:textId="77777777" w:rsidR="0001288E" w:rsidRPr="0084477F" w:rsidRDefault="0001288E" w:rsidP="001A08FA">
            <w:pPr>
              <w:jc w:val="center"/>
              <w:rPr>
                <w:color w:val="000000"/>
                <w:sz w:val="18"/>
                <w:szCs w:val="18"/>
              </w:rPr>
            </w:pPr>
            <w:r w:rsidRPr="0084477F">
              <w:rPr>
                <w:color w:val="000000"/>
                <w:sz w:val="18"/>
                <w:szCs w:val="18"/>
              </w:rPr>
              <w:t>0.0</w:t>
            </w:r>
            <w:r>
              <w:rPr>
                <w:color w:val="000000"/>
                <w:sz w:val="18"/>
                <w:szCs w:val="18"/>
              </w:rPr>
              <w:t>28</w:t>
            </w:r>
          </w:p>
        </w:tc>
        <w:tc>
          <w:tcPr>
            <w:tcW w:w="634" w:type="dxa"/>
            <w:tcBorders>
              <w:top w:val="nil"/>
              <w:left w:val="nil"/>
              <w:bottom w:val="single" w:sz="18" w:space="0" w:color="auto"/>
              <w:right w:val="nil"/>
            </w:tcBorders>
            <w:vAlign w:val="center"/>
          </w:tcPr>
          <w:p w14:paraId="6907E38B" w14:textId="77777777" w:rsidR="0001288E" w:rsidRPr="0084477F" w:rsidRDefault="0001288E" w:rsidP="001A08FA">
            <w:pPr>
              <w:jc w:val="center"/>
              <w:rPr>
                <w:color w:val="000000"/>
                <w:sz w:val="18"/>
                <w:szCs w:val="18"/>
              </w:rPr>
            </w:pPr>
            <w:r>
              <w:rPr>
                <w:color w:val="000000"/>
                <w:sz w:val="18"/>
                <w:szCs w:val="18"/>
              </w:rPr>
              <w:t>0.030</w:t>
            </w:r>
          </w:p>
        </w:tc>
      </w:tr>
      <w:tr w:rsidR="0001288E" w:rsidRPr="0084477F" w14:paraId="25EE7F7F" w14:textId="77777777" w:rsidTr="001A08FA">
        <w:trPr>
          <w:trHeight w:val="320"/>
        </w:trPr>
        <w:tc>
          <w:tcPr>
            <w:tcW w:w="9541" w:type="dxa"/>
            <w:gridSpan w:val="7"/>
            <w:tcBorders>
              <w:top w:val="single" w:sz="18" w:space="0" w:color="auto"/>
              <w:left w:val="nil"/>
              <w:right w:val="nil"/>
            </w:tcBorders>
            <w:shd w:val="clear" w:color="auto" w:fill="auto"/>
            <w:noWrap/>
            <w:vAlign w:val="center"/>
          </w:tcPr>
          <w:p w14:paraId="1F33EBEC" w14:textId="77777777" w:rsidR="0001288E" w:rsidRDefault="0001288E" w:rsidP="001A08FA">
            <w:pPr>
              <w:rPr>
                <w:color w:val="000000"/>
                <w:sz w:val="18"/>
                <w:szCs w:val="18"/>
              </w:rPr>
            </w:pPr>
            <w:r>
              <w:rPr>
                <w:bCs/>
                <w:sz w:val="18"/>
                <w:szCs w:val="18"/>
              </w:rPr>
              <w:t xml:space="preserve">Eta-squared effect size: </w:t>
            </w:r>
            <w:r w:rsidRPr="00E775DF">
              <w:rPr>
                <w:bCs/>
                <w:sz w:val="18"/>
                <w:szCs w:val="18"/>
              </w:rPr>
              <w:t>.0</w:t>
            </w:r>
            <w:r>
              <w:rPr>
                <w:bCs/>
                <w:sz w:val="18"/>
                <w:szCs w:val="18"/>
              </w:rPr>
              <w:t>1</w:t>
            </w:r>
            <w:r w:rsidRPr="00E775DF">
              <w:rPr>
                <w:bCs/>
                <w:sz w:val="18"/>
                <w:szCs w:val="18"/>
              </w:rPr>
              <w:t xml:space="preserve"> = small effect,</w:t>
            </w:r>
            <w:r>
              <w:rPr>
                <w:bCs/>
                <w:sz w:val="18"/>
                <w:szCs w:val="18"/>
              </w:rPr>
              <w:t xml:space="preserve"> </w:t>
            </w:r>
            <w:r w:rsidRPr="00E775DF">
              <w:rPr>
                <w:bCs/>
                <w:sz w:val="18"/>
                <w:szCs w:val="18"/>
              </w:rPr>
              <w:t>0.</w:t>
            </w:r>
            <w:r>
              <w:rPr>
                <w:bCs/>
                <w:sz w:val="18"/>
                <w:szCs w:val="18"/>
              </w:rPr>
              <w:t>06</w:t>
            </w:r>
            <w:r w:rsidRPr="00E775DF">
              <w:rPr>
                <w:bCs/>
                <w:sz w:val="18"/>
                <w:szCs w:val="18"/>
              </w:rPr>
              <w:t xml:space="preserve"> = medium effect, &amp; 0</w:t>
            </w:r>
            <w:r>
              <w:rPr>
                <w:bCs/>
                <w:sz w:val="18"/>
                <w:szCs w:val="18"/>
              </w:rPr>
              <w:t>.14</w:t>
            </w:r>
            <w:r w:rsidRPr="00E775DF">
              <w:rPr>
                <w:bCs/>
                <w:sz w:val="18"/>
                <w:szCs w:val="18"/>
              </w:rPr>
              <w:t xml:space="preserve"> = large effect</w:t>
            </w:r>
          </w:p>
        </w:tc>
      </w:tr>
    </w:tbl>
    <w:p w14:paraId="499DFEE8" w14:textId="77777777" w:rsidR="0001288E" w:rsidRPr="00073777" w:rsidRDefault="0001288E" w:rsidP="0001288E">
      <w:pPr>
        <w:jc w:val="both"/>
      </w:pPr>
    </w:p>
    <w:p w14:paraId="010F4410" w14:textId="457446DD" w:rsidR="0001288E" w:rsidRDefault="00971043" w:rsidP="0001288E">
      <w:pPr>
        <w:ind w:firstLine="720"/>
        <w:jc w:val="both"/>
      </w:pPr>
      <w:r>
        <w:t xml:space="preserve">Table </w:t>
      </w:r>
      <w:r w:rsidR="00C437CB">
        <w:t>5</w:t>
      </w:r>
      <w:r w:rsidR="0001288E">
        <w:t xml:space="preserve"> displays the results of a one-way ANOVA comparing EE21 outcomes scores across poorer and wealthier sociopolitical subgroups using the 10- and 20-point landslides while controlling for grade and race. Using both the 10- and 20-point landslides, groups from wealthier Democratic contexts had significantly less positive EE21 outcomes. Eta-squared effect size analyses indicated large effect sizes in both the 10-point (</w:t>
      </w:r>
      <w:r w:rsidR="0001288E" w:rsidRPr="00387EBA">
        <w:t>η</w:t>
      </w:r>
      <w:r w:rsidR="0001288E" w:rsidRPr="00387EBA">
        <w:rPr>
          <w:vertAlign w:val="superscript"/>
        </w:rPr>
        <w:t>2</w:t>
      </w:r>
      <w:r w:rsidR="0001288E">
        <w:t xml:space="preserve"> = 0.182) and 20-point landslides (</w:t>
      </w:r>
      <w:r w:rsidR="0001288E" w:rsidRPr="00387EBA">
        <w:t>η</w:t>
      </w:r>
      <w:r w:rsidR="0001288E" w:rsidRPr="00387EBA">
        <w:rPr>
          <w:vertAlign w:val="superscript"/>
        </w:rPr>
        <w:t>2</w:t>
      </w:r>
      <w:r w:rsidR="0001288E">
        <w:t xml:space="preserve"> = 0.194). Thus, combining socioeconomic and sociopolitical considerations of context provides a much clearer picture of differential impacts of EE programs than considering voting patterns alone. </w:t>
      </w:r>
      <w:r w:rsidR="00A479D6">
        <w:t>No other statistically significant differences were observed between wealthier and poorer populations within the mixed or Republican subgroups.</w:t>
      </w:r>
    </w:p>
    <w:p w14:paraId="4A10ED6C" w14:textId="77777777" w:rsidR="0001288E" w:rsidRPr="00EA10DA" w:rsidRDefault="0001288E" w:rsidP="0001288E">
      <w:pPr>
        <w:ind w:firstLine="720"/>
        <w:jc w:val="both"/>
      </w:pPr>
    </w:p>
    <w:tbl>
      <w:tblPr>
        <w:tblW w:w="9720" w:type="dxa"/>
        <w:tblLook w:val="04A0" w:firstRow="1" w:lastRow="0" w:firstColumn="1" w:lastColumn="0" w:noHBand="0" w:noVBand="1"/>
      </w:tblPr>
      <w:tblGrid>
        <w:gridCol w:w="1800"/>
        <w:gridCol w:w="866"/>
        <w:gridCol w:w="864"/>
        <w:gridCol w:w="866"/>
        <w:gridCol w:w="864"/>
        <w:gridCol w:w="866"/>
        <w:gridCol w:w="864"/>
        <w:gridCol w:w="30"/>
        <w:gridCol w:w="1273"/>
        <w:gridCol w:w="117"/>
        <w:gridCol w:w="498"/>
        <w:gridCol w:w="191"/>
        <w:gridCol w:w="621"/>
      </w:tblGrid>
      <w:tr w:rsidR="0001288E" w:rsidRPr="0084477F" w14:paraId="03DF0888" w14:textId="77777777" w:rsidTr="00241E8E">
        <w:trPr>
          <w:trHeight w:val="320"/>
        </w:trPr>
        <w:tc>
          <w:tcPr>
            <w:tcW w:w="9720" w:type="dxa"/>
            <w:gridSpan w:val="13"/>
            <w:tcBorders>
              <w:left w:val="nil"/>
              <w:bottom w:val="single" w:sz="18" w:space="0" w:color="auto"/>
              <w:right w:val="nil"/>
            </w:tcBorders>
            <w:shd w:val="clear" w:color="auto" w:fill="auto"/>
            <w:noWrap/>
            <w:vAlign w:val="bottom"/>
          </w:tcPr>
          <w:p w14:paraId="41B2CFEA" w14:textId="68B5BDF9" w:rsidR="0001288E" w:rsidRPr="00C74126" w:rsidRDefault="00971043" w:rsidP="007810B8">
            <w:pPr>
              <w:keepNext/>
              <w:rPr>
                <w:i/>
                <w:iCs/>
                <w:sz w:val="22"/>
                <w:szCs w:val="22"/>
              </w:rPr>
            </w:pPr>
            <w:r>
              <w:rPr>
                <w:i/>
                <w:iCs/>
                <w:sz w:val="22"/>
                <w:szCs w:val="22"/>
              </w:rPr>
              <w:t xml:space="preserve">Table </w:t>
            </w:r>
            <w:r w:rsidR="00C437CB">
              <w:rPr>
                <w:i/>
                <w:iCs/>
                <w:sz w:val="22"/>
                <w:szCs w:val="22"/>
              </w:rPr>
              <w:t>5</w:t>
            </w:r>
            <w:r w:rsidR="0001288E">
              <w:rPr>
                <w:i/>
                <w:iCs/>
                <w:sz w:val="22"/>
                <w:szCs w:val="22"/>
              </w:rPr>
              <w:t xml:space="preserve">. One-way ANOVA by sociopolitical context and socioeconomic status of visiting groups with Dunnett’s C </w:t>
            </w:r>
            <w:proofErr w:type="spellStart"/>
            <w:r w:rsidR="0001288E">
              <w:rPr>
                <w:i/>
                <w:iCs/>
                <w:sz w:val="22"/>
                <w:szCs w:val="22"/>
              </w:rPr>
              <w:t>posthoc</w:t>
            </w:r>
            <w:proofErr w:type="spellEnd"/>
            <w:r w:rsidR="0001288E">
              <w:rPr>
                <w:i/>
                <w:iCs/>
                <w:sz w:val="22"/>
                <w:szCs w:val="22"/>
              </w:rPr>
              <w:t xml:space="preserve"> tests for EE21 outcomes, controlling for grade and race.</w:t>
            </w:r>
          </w:p>
        </w:tc>
      </w:tr>
      <w:tr w:rsidR="0001288E" w:rsidRPr="0084477F" w14:paraId="4B9B9BBF" w14:textId="77777777" w:rsidTr="00241E8E">
        <w:trPr>
          <w:trHeight w:val="320"/>
        </w:trPr>
        <w:tc>
          <w:tcPr>
            <w:tcW w:w="1800" w:type="dxa"/>
            <w:tcBorders>
              <w:top w:val="single" w:sz="18" w:space="0" w:color="auto"/>
              <w:left w:val="nil"/>
              <w:bottom w:val="nil"/>
              <w:right w:val="nil"/>
            </w:tcBorders>
            <w:shd w:val="clear" w:color="auto" w:fill="auto"/>
            <w:noWrap/>
            <w:vAlign w:val="bottom"/>
            <w:hideMark/>
          </w:tcPr>
          <w:p w14:paraId="1E56FD55" w14:textId="77777777" w:rsidR="0001288E" w:rsidRPr="0084477F" w:rsidRDefault="0001288E" w:rsidP="001A08FA">
            <w:pPr>
              <w:rPr>
                <w:sz w:val="18"/>
                <w:szCs w:val="18"/>
              </w:rPr>
            </w:pPr>
          </w:p>
        </w:tc>
        <w:tc>
          <w:tcPr>
            <w:tcW w:w="5220" w:type="dxa"/>
            <w:gridSpan w:val="7"/>
            <w:tcBorders>
              <w:top w:val="single" w:sz="18" w:space="0" w:color="auto"/>
              <w:left w:val="nil"/>
              <w:bottom w:val="single" w:sz="8" w:space="0" w:color="auto"/>
              <w:right w:val="nil"/>
            </w:tcBorders>
            <w:vAlign w:val="center"/>
          </w:tcPr>
          <w:p w14:paraId="0A417B00" w14:textId="77777777" w:rsidR="0001288E" w:rsidRPr="0084477F" w:rsidRDefault="0001288E" w:rsidP="007810B8">
            <w:pPr>
              <w:keepNext/>
              <w:jc w:val="center"/>
              <w:rPr>
                <w:b/>
                <w:bCs/>
                <w:sz w:val="18"/>
                <w:szCs w:val="18"/>
              </w:rPr>
            </w:pPr>
            <w:r w:rsidRPr="0084477F">
              <w:rPr>
                <w:b/>
                <w:bCs/>
                <w:color w:val="000000"/>
                <w:sz w:val="18"/>
                <w:szCs w:val="18"/>
              </w:rPr>
              <w:t>Sociopolitical context</w:t>
            </w:r>
            <w:r>
              <w:rPr>
                <w:b/>
                <w:bCs/>
                <w:color w:val="000000"/>
                <w:sz w:val="18"/>
                <w:szCs w:val="18"/>
              </w:rPr>
              <w:t xml:space="preserve"> by socioeconomic status</w:t>
            </w:r>
          </w:p>
        </w:tc>
        <w:tc>
          <w:tcPr>
            <w:tcW w:w="1441" w:type="dxa"/>
            <w:gridSpan w:val="2"/>
            <w:tcBorders>
              <w:top w:val="single" w:sz="18" w:space="0" w:color="auto"/>
              <w:left w:val="nil"/>
              <w:right w:val="nil"/>
            </w:tcBorders>
            <w:vAlign w:val="center"/>
          </w:tcPr>
          <w:p w14:paraId="0D186FAB" w14:textId="77777777" w:rsidR="0001288E" w:rsidRPr="0084477F" w:rsidRDefault="0001288E" w:rsidP="007810B8">
            <w:pPr>
              <w:keepNext/>
              <w:jc w:val="center"/>
              <w:rPr>
                <w:b/>
                <w:bCs/>
                <w:sz w:val="18"/>
                <w:szCs w:val="18"/>
              </w:rPr>
            </w:pPr>
          </w:p>
        </w:tc>
        <w:tc>
          <w:tcPr>
            <w:tcW w:w="498" w:type="dxa"/>
            <w:tcBorders>
              <w:top w:val="single" w:sz="18" w:space="0" w:color="auto"/>
              <w:left w:val="nil"/>
              <w:right w:val="nil"/>
            </w:tcBorders>
            <w:vAlign w:val="center"/>
          </w:tcPr>
          <w:p w14:paraId="7D809D3A" w14:textId="77777777" w:rsidR="0001288E" w:rsidRPr="0084477F" w:rsidRDefault="0001288E" w:rsidP="001A08FA">
            <w:pPr>
              <w:jc w:val="center"/>
              <w:rPr>
                <w:b/>
                <w:bCs/>
                <w:sz w:val="18"/>
                <w:szCs w:val="18"/>
              </w:rPr>
            </w:pPr>
          </w:p>
        </w:tc>
        <w:tc>
          <w:tcPr>
            <w:tcW w:w="761" w:type="dxa"/>
            <w:gridSpan w:val="2"/>
            <w:tcBorders>
              <w:top w:val="single" w:sz="18" w:space="0" w:color="auto"/>
              <w:left w:val="nil"/>
              <w:right w:val="nil"/>
            </w:tcBorders>
            <w:vAlign w:val="center"/>
          </w:tcPr>
          <w:p w14:paraId="4A1CBD6B" w14:textId="77777777" w:rsidR="0001288E" w:rsidRPr="0084477F" w:rsidRDefault="0001288E" w:rsidP="001A08FA">
            <w:pPr>
              <w:jc w:val="center"/>
              <w:rPr>
                <w:b/>
                <w:bCs/>
                <w:sz w:val="18"/>
                <w:szCs w:val="18"/>
              </w:rPr>
            </w:pPr>
          </w:p>
        </w:tc>
      </w:tr>
      <w:tr w:rsidR="0001288E" w:rsidRPr="0084477F" w14:paraId="273178F2" w14:textId="77777777" w:rsidTr="00241E8E">
        <w:trPr>
          <w:trHeight w:val="320"/>
        </w:trPr>
        <w:tc>
          <w:tcPr>
            <w:tcW w:w="1800" w:type="dxa"/>
            <w:tcBorders>
              <w:top w:val="nil"/>
              <w:left w:val="nil"/>
              <w:bottom w:val="single" w:sz="8" w:space="0" w:color="auto"/>
              <w:right w:val="nil"/>
            </w:tcBorders>
            <w:shd w:val="clear" w:color="auto" w:fill="auto"/>
            <w:noWrap/>
            <w:vAlign w:val="center"/>
          </w:tcPr>
          <w:p w14:paraId="2BB2BB1D" w14:textId="77777777" w:rsidR="0001288E" w:rsidRPr="0084477F" w:rsidRDefault="0001288E" w:rsidP="001A08FA">
            <w:pPr>
              <w:rPr>
                <w:b/>
                <w:bCs/>
                <w:color w:val="000000"/>
                <w:sz w:val="18"/>
                <w:szCs w:val="18"/>
              </w:rPr>
            </w:pPr>
          </w:p>
        </w:tc>
        <w:tc>
          <w:tcPr>
            <w:tcW w:w="1730" w:type="dxa"/>
            <w:gridSpan w:val="2"/>
            <w:tcBorders>
              <w:top w:val="single" w:sz="8" w:space="0" w:color="auto"/>
              <w:left w:val="nil"/>
              <w:bottom w:val="single" w:sz="8" w:space="0" w:color="auto"/>
              <w:right w:val="single" w:sz="4" w:space="0" w:color="auto"/>
            </w:tcBorders>
            <w:shd w:val="clear" w:color="auto" w:fill="auto"/>
            <w:noWrap/>
            <w:vAlign w:val="center"/>
          </w:tcPr>
          <w:p w14:paraId="02C12161" w14:textId="77777777" w:rsidR="0001288E" w:rsidRPr="0084477F" w:rsidRDefault="0001288E" w:rsidP="001A08FA">
            <w:pPr>
              <w:jc w:val="center"/>
              <w:rPr>
                <w:b/>
                <w:bCs/>
                <w:color w:val="000000"/>
                <w:sz w:val="18"/>
                <w:szCs w:val="18"/>
              </w:rPr>
            </w:pPr>
            <w:r w:rsidRPr="0084477F">
              <w:rPr>
                <w:b/>
                <w:bCs/>
                <w:color w:val="000000"/>
                <w:sz w:val="18"/>
                <w:szCs w:val="18"/>
              </w:rPr>
              <w:t>Democrat</w:t>
            </w:r>
            <w:r>
              <w:rPr>
                <w:b/>
                <w:bCs/>
                <w:color w:val="000000"/>
                <w:sz w:val="18"/>
                <w:szCs w:val="18"/>
              </w:rPr>
              <w:t>ic</w:t>
            </w:r>
          </w:p>
        </w:tc>
        <w:tc>
          <w:tcPr>
            <w:tcW w:w="1730" w:type="dxa"/>
            <w:gridSpan w:val="2"/>
            <w:tcBorders>
              <w:top w:val="single" w:sz="8" w:space="0" w:color="auto"/>
              <w:left w:val="single" w:sz="4" w:space="0" w:color="auto"/>
              <w:bottom w:val="single" w:sz="8" w:space="0" w:color="auto"/>
              <w:right w:val="single" w:sz="4" w:space="0" w:color="auto"/>
            </w:tcBorders>
            <w:shd w:val="clear" w:color="auto" w:fill="auto"/>
            <w:noWrap/>
            <w:vAlign w:val="center"/>
          </w:tcPr>
          <w:p w14:paraId="462A318C" w14:textId="77777777" w:rsidR="0001288E" w:rsidRPr="0084477F" w:rsidRDefault="0001288E" w:rsidP="001A08FA">
            <w:pPr>
              <w:jc w:val="center"/>
              <w:rPr>
                <w:b/>
                <w:bCs/>
                <w:color w:val="000000"/>
                <w:sz w:val="18"/>
                <w:szCs w:val="18"/>
              </w:rPr>
            </w:pPr>
            <w:r w:rsidRPr="0084477F">
              <w:rPr>
                <w:b/>
                <w:bCs/>
                <w:color w:val="000000"/>
                <w:sz w:val="18"/>
                <w:szCs w:val="18"/>
              </w:rPr>
              <w:t>Mixed</w:t>
            </w:r>
          </w:p>
        </w:tc>
        <w:tc>
          <w:tcPr>
            <w:tcW w:w="1730" w:type="dxa"/>
            <w:gridSpan w:val="2"/>
            <w:tcBorders>
              <w:top w:val="single" w:sz="8" w:space="0" w:color="auto"/>
              <w:left w:val="single" w:sz="4" w:space="0" w:color="auto"/>
              <w:bottom w:val="single" w:sz="8" w:space="0" w:color="auto"/>
              <w:right w:val="nil"/>
            </w:tcBorders>
            <w:shd w:val="clear" w:color="auto" w:fill="auto"/>
            <w:noWrap/>
            <w:vAlign w:val="center"/>
          </w:tcPr>
          <w:p w14:paraId="5BBBA140" w14:textId="77777777" w:rsidR="0001288E" w:rsidRPr="0084477F" w:rsidRDefault="0001288E" w:rsidP="001A08FA">
            <w:pPr>
              <w:jc w:val="center"/>
              <w:rPr>
                <w:b/>
                <w:bCs/>
                <w:color w:val="000000"/>
                <w:sz w:val="18"/>
                <w:szCs w:val="18"/>
              </w:rPr>
            </w:pPr>
            <w:r w:rsidRPr="0084477F">
              <w:rPr>
                <w:b/>
                <w:bCs/>
                <w:color w:val="000000"/>
                <w:sz w:val="18"/>
                <w:szCs w:val="18"/>
              </w:rPr>
              <w:t>Republican</w:t>
            </w:r>
          </w:p>
        </w:tc>
        <w:tc>
          <w:tcPr>
            <w:tcW w:w="1471" w:type="dxa"/>
            <w:gridSpan w:val="3"/>
            <w:tcBorders>
              <w:top w:val="nil"/>
              <w:left w:val="nil"/>
              <w:bottom w:val="single" w:sz="8" w:space="0" w:color="auto"/>
              <w:right w:val="nil"/>
            </w:tcBorders>
            <w:vAlign w:val="center"/>
          </w:tcPr>
          <w:p w14:paraId="4825F97A" w14:textId="77777777" w:rsidR="0001288E" w:rsidRPr="0084477F" w:rsidRDefault="0001288E" w:rsidP="001A08FA">
            <w:pPr>
              <w:jc w:val="center"/>
              <w:rPr>
                <w:b/>
                <w:bCs/>
                <w:color w:val="000000"/>
                <w:sz w:val="18"/>
                <w:szCs w:val="18"/>
              </w:rPr>
            </w:pPr>
          </w:p>
        </w:tc>
        <w:tc>
          <w:tcPr>
            <w:tcW w:w="498" w:type="dxa"/>
            <w:tcBorders>
              <w:top w:val="nil"/>
              <w:left w:val="nil"/>
              <w:bottom w:val="single" w:sz="8" w:space="0" w:color="auto"/>
              <w:right w:val="nil"/>
            </w:tcBorders>
            <w:vAlign w:val="center"/>
          </w:tcPr>
          <w:p w14:paraId="73E0A65E" w14:textId="77777777" w:rsidR="0001288E" w:rsidRPr="0084477F" w:rsidRDefault="0001288E" w:rsidP="001A08FA">
            <w:pPr>
              <w:jc w:val="center"/>
              <w:rPr>
                <w:b/>
                <w:bCs/>
                <w:color w:val="000000"/>
                <w:sz w:val="18"/>
                <w:szCs w:val="18"/>
              </w:rPr>
            </w:pPr>
          </w:p>
        </w:tc>
        <w:tc>
          <w:tcPr>
            <w:tcW w:w="761" w:type="dxa"/>
            <w:gridSpan w:val="2"/>
            <w:tcBorders>
              <w:top w:val="nil"/>
              <w:left w:val="nil"/>
              <w:bottom w:val="single" w:sz="8" w:space="0" w:color="auto"/>
              <w:right w:val="nil"/>
            </w:tcBorders>
            <w:vAlign w:val="center"/>
          </w:tcPr>
          <w:p w14:paraId="0C5B5751" w14:textId="77777777" w:rsidR="0001288E" w:rsidRPr="0084477F" w:rsidRDefault="0001288E" w:rsidP="001A08FA">
            <w:pPr>
              <w:jc w:val="center"/>
              <w:rPr>
                <w:b/>
                <w:bCs/>
                <w:color w:val="000000"/>
                <w:sz w:val="18"/>
                <w:szCs w:val="18"/>
              </w:rPr>
            </w:pPr>
          </w:p>
        </w:tc>
      </w:tr>
      <w:tr w:rsidR="0001288E" w:rsidRPr="0084477F" w14:paraId="13EF5A90" w14:textId="77777777" w:rsidTr="00241E8E">
        <w:trPr>
          <w:trHeight w:val="320"/>
        </w:trPr>
        <w:tc>
          <w:tcPr>
            <w:tcW w:w="1800" w:type="dxa"/>
            <w:tcBorders>
              <w:top w:val="nil"/>
              <w:left w:val="nil"/>
              <w:bottom w:val="single" w:sz="8" w:space="0" w:color="auto"/>
              <w:right w:val="nil"/>
            </w:tcBorders>
            <w:shd w:val="clear" w:color="auto" w:fill="auto"/>
            <w:noWrap/>
            <w:vAlign w:val="center"/>
          </w:tcPr>
          <w:p w14:paraId="2FF9B06F" w14:textId="77777777" w:rsidR="0001288E" w:rsidRPr="0084477F" w:rsidRDefault="0001288E" w:rsidP="001A08FA">
            <w:pPr>
              <w:rPr>
                <w:b/>
                <w:bCs/>
                <w:color w:val="000000"/>
                <w:sz w:val="18"/>
                <w:szCs w:val="18"/>
              </w:rPr>
            </w:pPr>
          </w:p>
        </w:tc>
        <w:tc>
          <w:tcPr>
            <w:tcW w:w="866" w:type="dxa"/>
            <w:tcBorders>
              <w:top w:val="single" w:sz="8" w:space="0" w:color="auto"/>
              <w:left w:val="nil"/>
              <w:bottom w:val="single" w:sz="8" w:space="0" w:color="auto"/>
              <w:right w:val="single" w:sz="4" w:space="0" w:color="auto"/>
            </w:tcBorders>
            <w:shd w:val="clear" w:color="auto" w:fill="auto"/>
            <w:noWrap/>
            <w:vAlign w:val="center"/>
          </w:tcPr>
          <w:p w14:paraId="18F267F8" w14:textId="77777777" w:rsidR="0001288E" w:rsidRPr="0084477F" w:rsidRDefault="0001288E" w:rsidP="001A08FA">
            <w:pPr>
              <w:jc w:val="center"/>
              <w:rPr>
                <w:b/>
                <w:bCs/>
                <w:color w:val="000000"/>
                <w:sz w:val="18"/>
                <w:szCs w:val="18"/>
              </w:rPr>
            </w:pPr>
            <w:r>
              <w:rPr>
                <w:b/>
                <w:bCs/>
                <w:color w:val="000000"/>
                <w:sz w:val="18"/>
                <w:szCs w:val="18"/>
              </w:rPr>
              <w:t>Wealthy</w:t>
            </w:r>
          </w:p>
        </w:tc>
        <w:tc>
          <w:tcPr>
            <w:tcW w:w="864" w:type="dxa"/>
            <w:tcBorders>
              <w:top w:val="single" w:sz="8" w:space="0" w:color="auto"/>
              <w:left w:val="single" w:sz="4" w:space="0" w:color="auto"/>
              <w:bottom w:val="single" w:sz="8" w:space="0" w:color="auto"/>
              <w:right w:val="single" w:sz="4" w:space="0" w:color="auto"/>
            </w:tcBorders>
            <w:vAlign w:val="center"/>
          </w:tcPr>
          <w:p w14:paraId="268B602C" w14:textId="77777777" w:rsidR="0001288E" w:rsidRPr="0084477F" w:rsidRDefault="0001288E" w:rsidP="001A08FA">
            <w:pPr>
              <w:jc w:val="center"/>
              <w:rPr>
                <w:b/>
                <w:bCs/>
                <w:color w:val="000000"/>
                <w:sz w:val="18"/>
                <w:szCs w:val="18"/>
              </w:rPr>
            </w:pPr>
            <w:r>
              <w:rPr>
                <w:b/>
                <w:bCs/>
                <w:color w:val="000000"/>
                <w:sz w:val="18"/>
                <w:szCs w:val="18"/>
              </w:rPr>
              <w:t>Poor</w:t>
            </w:r>
          </w:p>
        </w:tc>
        <w:tc>
          <w:tcPr>
            <w:tcW w:w="866" w:type="dxa"/>
            <w:tcBorders>
              <w:top w:val="single" w:sz="8" w:space="0" w:color="auto"/>
              <w:left w:val="single" w:sz="4" w:space="0" w:color="auto"/>
              <w:bottom w:val="single" w:sz="8" w:space="0" w:color="auto"/>
              <w:right w:val="single" w:sz="4" w:space="0" w:color="auto"/>
            </w:tcBorders>
            <w:shd w:val="clear" w:color="auto" w:fill="auto"/>
            <w:noWrap/>
            <w:vAlign w:val="center"/>
          </w:tcPr>
          <w:p w14:paraId="4BF551F9" w14:textId="77777777" w:rsidR="0001288E" w:rsidRPr="0084477F" w:rsidRDefault="0001288E" w:rsidP="001A08FA">
            <w:pPr>
              <w:jc w:val="center"/>
              <w:rPr>
                <w:b/>
                <w:bCs/>
                <w:color w:val="000000"/>
                <w:sz w:val="18"/>
                <w:szCs w:val="18"/>
              </w:rPr>
            </w:pPr>
            <w:r>
              <w:rPr>
                <w:b/>
                <w:bCs/>
                <w:color w:val="000000"/>
                <w:sz w:val="18"/>
                <w:szCs w:val="18"/>
              </w:rPr>
              <w:t>Wealthy</w:t>
            </w:r>
          </w:p>
        </w:tc>
        <w:tc>
          <w:tcPr>
            <w:tcW w:w="864" w:type="dxa"/>
            <w:tcBorders>
              <w:top w:val="single" w:sz="8" w:space="0" w:color="auto"/>
              <w:left w:val="single" w:sz="4" w:space="0" w:color="auto"/>
              <w:bottom w:val="single" w:sz="8" w:space="0" w:color="auto"/>
              <w:right w:val="single" w:sz="4" w:space="0" w:color="auto"/>
            </w:tcBorders>
            <w:vAlign w:val="center"/>
          </w:tcPr>
          <w:p w14:paraId="1D569D11" w14:textId="77777777" w:rsidR="0001288E" w:rsidRPr="0084477F" w:rsidRDefault="0001288E" w:rsidP="001A08FA">
            <w:pPr>
              <w:jc w:val="center"/>
              <w:rPr>
                <w:b/>
                <w:bCs/>
                <w:color w:val="000000"/>
                <w:sz w:val="18"/>
                <w:szCs w:val="18"/>
              </w:rPr>
            </w:pPr>
            <w:r>
              <w:rPr>
                <w:b/>
                <w:bCs/>
                <w:color w:val="000000"/>
                <w:sz w:val="18"/>
                <w:szCs w:val="18"/>
              </w:rPr>
              <w:t>Poor</w:t>
            </w:r>
          </w:p>
        </w:tc>
        <w:tc>
          <w:tcPr>
            <w:tcW w:w="866" w:type="dxa"/>
            <w:tcBorders>
              <w:top w:val="single" w:sz="8" w:space="0" w:color="auto"/>
              <w:left w:val="single" w:sz="4" w:space="0" w:color="auto"/>
              <w:bottom w:val="single" w:sz="8" w:space="0" w:color="auto"/>
              <w:right w:val="single" w:sz="4" w:space="0" w:color="auto"/>
            </w:tcBorders>
            <w:shd w:val="clear" w:color="auto" w:fill="auto"/>
            <w:noWrap/>
            <w:vAlign w:val="center"/>
          </w:tcPr>
          <w:p w14:paraId="1ED46653" w14:textId="77777777" w:rsidR="0001288E" w:rsidRPr="0084477F" w:rsidRDefault="0001288E" w:rsidP="001A08FA">
            <w:pPr>
              <w:jc w:val="center"/>
              <w:rPr>
                <w:b/>
                <w:bCs/>
                <w:color w:val="000000"/>
                <w:sz w:val="18"/>
                <w:szCs w:val="18"/>
              </w:rPr>
            </w:pPr>
            <w:r>
              <w:rPr>
                <w:b/>
                <w:bCs/>
                <w:color w:val="000000"/>
                <w:sz w:val="18"/>
                <w:szCs w:val="18"/>
              </w:rPr>
              <w:t>Wealthy</w:t>
            </w:r>
          </w:p>
        </w:tc>
        <w:tc>
          <w:tcPr>
            <w:tcW w:w="864" w:type="dxa"/>
            <w:tcBorders>
              <w:top w:val="nil"/>
              <w:left w:val="single" w:sz="4" w:space="0" w:color="auto"/>
              <w:bottom w:val="single" w:sz="8" w:space="0" w:color="auto"/>
              <w:right w:val="nil"/>
            </w:tcBorders>
            <w:vAlign w:val="center"/>
          </w:tcPr>
          <w:p w14:paraId="55664D20" w14:textId="77777777" w:rsidR="0001288E" w:rsidRPr="0084477F" w:rsidRDefault="0001288E" w:rsidP="001A08FA">
            <w:pPr>
              <w:jc w:val="center"/>
              <w:rPr>
                <w:b/>
                <w:bCs/>
                <w:color w:val="000000"/>
                <w:sz w:val="18"/>
                <w:szCs w:val="18"/>
              </w:rPr>
            </w:pPr>
            <w:r>
              <w:rPr>
                <w:b/>
                <w:bCs/>
                <w:color w:val="000000"/>
                <w:sz w:val="18"/>
                <w:szCs w:val="18"/>
              </w:rPr>
              <w:t>Poor</w:t>
            </w:r>
          </w:p>
        </w:tc>
        <w:tc>
          <w:tcPr>
            <w:tcW w:w="1354" w:type="dxa"/>
            <w:gridSpan w:val="2"/>
            <w:tcBorders>
              <w:top w:val="nil"/>
              <w:left w:val="nil"/>
              <w:bottom w:val="single" w:sz="8" w:space="0" w:color="auto"/>
              <w:right w:val="nil"/>
            </w:tcBorders>
            <w:vAlign w:val="center"/>
          </w:tcPr>
          <w:p w14:paraId="50A9AFB2" w14:textId="77777777" w:rsidR="0001288E" w:rsidRPr="0084477F" w:rsidRDefault="0001288E" w:rsidP="001A08FA">
            <w:pPr>
              <w:jc w:val="center"/>
              <w:rPr>
                <w:b/>
                <w:bCs/>
                <w:color w:val="000000"/>
                <w:sz w:val="18"/>
                <w:szCs w:val="18"/>
              </w:rPr>
            </w:pPr>
            <w:r>
              <w:rPr>
                <w:b/>
                <w:bCs/>
                <w:color w:val="000000"/>
                <w:sz w:val="18"/>
                <w:szCs w:val="18"/>
              </w:rPr>
              <w:t>Test statistic</w:t>
            </w:r>
          </w:p>
        </w:tc>
        <w:tc>
          <w:tcPr>
            <w:tcW w:w="806" w:type="dxa"/>
            <w:gridSpan w:val="3"/>
            <w:tcBorders>
              <w:top w:val="nil"/>
              <w:left w:val="nil"/>
              <w:bottom w:val="single" w:sz="8" w:space="0" w:color="auto"/>
              <w:right w:val="nil"/>
            </w:tcBorders>
            <w:vAlign w:val="center"/>
          </w:tcPr>
          <w:p w14:paraId="18C62F29" w14:textId="77777777" w:rsidR="0001288E" w:rsidRPr="0084477F" w:rsidRDefault="0001288E" w:rsidP="001A08FA">
            <w:pPr>
              <w:jc w:val="center"/>
              <w:rPr>
                <w:b/>
                <w:bCs/>
                <w:color w:val="000000"/>
                <w:sz w:val="18"/>
                <w:szCs w:val="18"/>
              </w:rPr>
            </w:pPr>
            <w:r>
              <w:rPr>
                <w:b/>
                <w:bCs/>
                <w:color w:val="000000"/>
                <w:sz w:val="18"/>
                <w:szCs w:val="18"/>
              </w:rPr>
              <w:t>p</w:t>
            </w:r>
          </w:p>
        </w:tc>
        <w:tc>
          <w:tcPr>
            <w:tcW w:w="570" w:type="dxa"/>
            <w:tcBorders>
              <w:top w:val="nil"/>
              <w:left w:val="nil"/>
              <w:bottom w:val="single" w:sz="8" w:space="0" w:color="auto"/>
              <w:right w:val="nil"/>
            </w:tcBorders>
            <w:vAlign w:val="center"/>
          </w:tcPr>
          <w:p w14:paraId="060BF62A" w14:textId="77777777" w:rsidR="0001288E" w:rsidRPr="0084477F" w:rsidRDefault="0001288E" w:rsidP="001A08FA">
            <w:pPr>
              <w:jc w:val="center"/>
              <w:rPr>
                <w:b/>
                <w:bCs/>
                <w:color w:val="000000"/>
                <w:sz w:val="18"/>
                <w:szCs w:val="18"/>
              </w:rPr>
            </w:pPr>
            <w:r w:rsidRPr="00307FDE">
              <w:rPr>
                <w:b/>
                <w:bCs/>
                <w:sz w:val="18"/>
                <w:szCs w:val="18"/>
              </w:rPr>
              <w:t>η</w:t>
            </w:r>
            <w:r w:rsidRPr="00307FDE">
              <w:rPr>
                <w:b/>
                <w:bCs/>
                <w:sz w:val="18"/>
                <w:szCs w:val="18"/>
                <w:vertAlign w:val="superscript"/>
              </w:rPr>
              <w:t>2</w:t>
            </w:r>
          </w:p>
        </w:tc>
      </w:tr>
      <w:tr w:rsidR="0001288E" w:rsidRPr="0084477F" w14:paraId="0CC7F853" w14:textId="77777777" w:rsidTr="00241E8E">
        <w:trPr>
          <w:trHeight w:val="320"/>
        </w:trPr>
        <w:tc>
          <w:tcPr>
            <w:tcW w:w="1800" w:type="dxa"/>
            <w:tcBorders>
              <w:left w:val="nil"/>
              <w:bottom w:val="nil"/>
              <w:right w:val="nil"/>
            </w:tcBorders>
            <w:shd w:val="clear" w:color="auto" w:fill="auto"/>
            <w:noWrap/>
            <w:vAlign w:val="center"/>
            <w:hideMark/>
          </w:tcPr>
          <w:p w14:paraId="60720DB8" w14:textId="77777777" w:rsidR="0001288E" w:rsidRPr="0084477F" w:rsidRDefault="0001288E" w:rsidP="001A08FA">
            <w:pPr>
              <w:rPr>
                <w:color w:val="000000"/>
                <w:sz w:val="18"/>
                <w:szCs w:val="18"/>
              </w:rPr>
            </w:pPr>
            <w:r w:rsidRPr="0084477F">
              <w:rPr>
                <w:i/>
                <w:iCs/>
                <w:color w:val="000000"/>
                <w:sz w:val="18"/>
                <w:szCs w:val="18"/>
              </w:rPr>
              <w:t>10-point landslide (</w:t>
            </w:r>
            <w:r>
              <w:rPr>
                <w:i/>
                <w:iCs/>
                <w:color w:val="000000"/>
                <w:sz w:val="18"/>
                <w:szCs w:val="18"/>
              </w:rPr>
              <w:t>n</w:t>
            </w:r>
            <w:r w:rsidRPr="0084477F">
              <w:rPr>
                <w:i/>
                <w:iCs/>
                <w:color w:val="000000"/>
                <w:sz w:val="18"/>
                <w:szCs w:val="18"/>
              </w:rPr>
              <w:t>)</w:t>
            </w:r>
          </w:p>
        </w:tc>
        <w:tc>
          <w:tcPr>
            <w:tcW w:w="866" w:type="dxa"/>
            <w:tcBorders>
              <w:left w:val="nil"/>
              <w:bottom w:val="nil"/>
              <w:right w:val="single" w:sz="4" w:space="0" w:color="auto"/>
            </w:tcBorders>
            <w:shd w:val="clear" w:color="auto" w:fill="auto"/>
            <w:noWrap/>
            <w:vAlign w:val="center"/>
            <w:hideMark/>
          </w:tcPr>
          <w:p w14:paraId="128529A8" w14:textId="77777777" w:rsidR="0001288E" w:rsidRPr="0084477F" w:rsidRDefault="0001288E" w:rsidP="001A08FA">
            <w:pPr>
              <w:jc w:val="center"/>
              <w:rPr>
                <w:i/>
                <w:iCs/>
                <w:color w:val="000000"/>
                <w:sz w:val="18"/>
                <w:szCs w:val="18"/>
              </w:rPr>
            </w:pPr>
            <w:r w:rsidRPr="0084477F">
              <w:rPr>
                <w:i/>
                <w:iCs/>
                <w:color w:val="000000"/>
                <w:sz w:val="18"/>
                <w:szCs w:val="18"/>
              </w:rPr>
              <w:t>(</w:t>
            </w:r>
            <w:r>
              <w:rPr>
                <w:i/>
                <w:iCs/>
                <w:color w:val="000000"/>
                <w:sz w:val="18"/>
                <w:szCs w:val="18"/>
              </w:rPr>
              <w:t>28</w:t>
            </w:r>
            <w:r w:rsidRPr="0084477F">
              <w:rPr>
                <w:i/>
                <w:iCs/>
                <w:color w:val="000000"/>
                <w:sz w:val="18"/>
                <w:szCs w:val="18"/>
              </w:rPr>
              <w:t>)</w:t>
            </w:r>
          </w:p>
        </w:tc>
        <w:tc>
          <w:tcPr>
            <w:tcW w:w="864" w:type="dxa"/>
            <w:tcBorders>
              <w:left w:val="single" w:sz="4" w:space="0" w:color="auto"/>
              <w:bottom w:val="nil"/>
              <w:right w:val="single" w:sz="4" w:space="0" w:color="auto"/>
            </w:tcBorders>
            <w:vAlign w:val="center"/>
          </w:tcPr>
          <w:p w14:paraId="199BD565" w14:textId="77777777" w:rsidR="0001288E" w:rsidRPr="0084477F" w:rsidRDefault="0001288E" w:rsidP="001A08FA">
            <w:pPr>
              <w:jc w:val="center"/>
              <w:rPr>
                <w:i/>
                <w:iCs/>
                <w:color w:val="000000"/>
                <w:sz w:val="18"/>
                <w:szCs w:val="18"/>
              </w:rPr>
            </w:pPr>
            <w:r>
              <w:rPr>
                <w:i/>
                <w:iCs/>
                <w:color w:val="000000"/>
                <w:sz w:val="18"/>
                <w:szCs w:val="18"/>
              </w:rPr>
              <w:t>(76)</w:t>
            </w:r>
          </w:p>
        </w:tc>
        <w:tc>
          <w:tcPr>
            <w:tcW w:w="866" w:type="dxa"/>
            <w:tcBorders>
              <w:left w:val="single" w:sz="4" w:space="0" w:color="auto"/>
              <w:bottom w:val="nil"/>
              <w:right w:val="single" w:sz="4" w:space="0" w:color="auto"/>
            </w:tcBorders>
            <w:shd w:val="clear" w:color="auto" w:fill="auto"/>
            <w:noWrap/>
            <w:vAlign w:val="center"/>
            <w:hideMark/>
          </w:tcPr>
          <w:p w14:paraId="0A56427C" w14:textId="77777777" w:rsidR="0001288E" w:rsidRPr="0084477F" w:rsidRDefault="0001288E" w:rsidP="001A08FA">
            <w:pPr>
              <w:jc w:val="center"/>
              <w:rPr>
                <w:i/>
                <w:iCs/>
                <w:color w:val="000000"/>
                <w:sz w:val="18"/>
                <w:szCs w:val="18"/>
              </w:rPr>
            </w:pPr>
            <w:r w:rsidRPr="0084477F">
              <w:rPr>
                <w:i/>
                <w:iCs/>
                <w:color w:val="000000"/>
                <w:sz w:val="18"/>
                <w:szCs w:val="18"/>
              </w:rPr>
              <w:t>(</w:t>
            </w:r>
            <w:r>
              <w:rPr>
                <w:i/>
                <w:iCs/>
                <w:color w:val="000000"/>
                <w:sz w:val="18"/>
                <w:szCs w:val="18"/>
              </w:rPr>
              <w:t>15</w:t>
            </w:r>
            <w:r w:rsidRPr="0084477F">
              <w:rPr>
                <w:i/>
                <w:iCs/>
                <w:color w:val="000000"/>
                <w:sz w:val="18"/>
                <w:szCs w:val="18"/>
              </w:rPr>
              <w:t>)</w:t>
            </w:r>
          </w:p>
        </w:tc>
        <w:tc>
          <w:tcPr>
            <w:tcW w:w="864" w:type="dxa"/>
            <w:tcBorders>
              <w:left w:val="single" w:sz="4" w:space="0" w:color="auto"/>
              <w:bottom w:val="nil"/>
              <w:right w:val="single" w:sz="4" w:space="0" w:color="auto"/>
            </w:tcBorders>
            <w:vAlign w:val="center"/>
          </w:tcPr>
          <w:p w14:paraId="2A414AC4" w14:textId="77777777" w:rsidR="0001288E" w:rsidRPr="0084477F" w:rsidRDefault="0001288E" w:rsidP="001A08FA">
            <w:pPr>
              <w:jc w:val="center"/>
              <w:rPr>
                <w:i/>
                <w:iCs/>
                <w:color w:val="000000"/>
                <w:sz w:val="18"/>
                <w:szCs w:val="18"/>
              </w:rPr>
            </w:pPr>
            <w:r>
              <w:rPr>
                <w:i/>
                <w:iCs/>
                <w:color w:val="000000"/>
                <w:sz w:val="18"/>
                <w:szCs w:val="18"/>
              </w:rPr>
              <w:t>(33)</w:t>
            </w:r>
          </w:p>
        </w:tc>
        <w:tc>
          <w:tcPr>
            <w:tcW w:w="866" w:type="dxa"/>
            <w:tcBorders>
              <w:left w:val="single" w:sz="4" w:space="0" w:color="auto"/>
              <w:bottom w:val="nil"/>
              <w:right w:val="single" w:sz="4" w:space="0" w:color="auto"/>
            </w:tcBorders>
            <w:shd w:val="clear" w:color="auto" w:fill="auto"/>
            <w:noWrap/>
            <w:vAlign w:val="center"/>
            <w:hideMark/>
          </w:tcPr>
          <w:p w14:paraId="25DE1221" w14:textId="77777777" w:rsidR="0001288E" w:rsidRPr="0084477F" w:rsidRDefault="0001288E" w:rsidP="001A08FA">
            <w:pPr>
              <w:jc w:val="center"/>
              <w:rPr>
                <w:i/>
                <w:iCs/>
                <w:color w:val="000000"/>
                <w:sz w:val="18"/>
                <w:szCs w:val="18"/>
              </w:rPr>
            </w:pPr>
            <w:r>
              <w:rPr>
                <w:i/>
                <w:iCs/>
                <w:color w:val="000000"/>
                <w:sz w:val="18"/>
                <w:szCs w:val="18"/>
              </w:rPr>
              <w:t>(36)</w:t>
            </w:r>
          </w:p>
        </w:tc>
        <w:tc>
          <w:tcPr>
            <w:tcW w:w="864" w:type="dxa"/>
            <w:tcBorders>
              <w:left w:val="single" w:sz="4" w:space="0" w:color="auto"/>
              <w:bottom w:val="nil"/>
              <w:right w:val="nil"/>
            </w:tcBorders>
            <w:vAlign w:val="center"/>
          </w:tcPr>
          <w:p w14:paraId="536A360F" w14:textId="77777777" w:rsidR="0001288E" w:rsidRPr="00044557" w:rsidRDefault="0001288E" w:rsidP="001A08FA">
            <w:pPr>
              <w:jc w:val="center"/>
              <w:rPr>
                <w:i/>
                <w:iCs/>
                <w:color w:val="000000"/>
                <w:sz w:val="18"/>
                <w:szCs w:val="18"/>
              </w:rPr>
            </w:pPr>
            <w:r w:rsidRPr="00044557">
              <w:rPr>
                <w:i/>
                <w:iCs/>
                <w:color w:val="000000"/>
                <w:sz w:val="18"/>
                <w:szCs w:val="18"/>
              </w:rPr>
              <w:t>(43)</w:t>
            </w:r>
          </w:p>
        </w:tc>
        <w:tc>
          <w:tcPr>
            <w:tcW w:w="1354" w:type="dxa"/>
            <w:gridSpan w:val="2"/>
            <w:tcBorders>
              <w:left w:val="nil"/>
              <w:bottom w:val="nil"/>
              <w:right w:val="nil"/>
            </w:tcBorders>
            <w:vAlign w:val="center"/>
          </w:tcPr>
          <w:p w14:paraId="2CA8AE86" w14:textId="77777777" w:rsidR="0001288E" w:rsidRPr="0084477F" w:rsidRDefault="0001288E" w:rsidP="001A08FA">
            <w:pPr>
              <w:jc w:val="center"/>
              <w:rPr>
                <w:b/>
                <w:bCs/>
                <w:color w:val="000000"/>
                <w:sz w:val="18"/>
                <w:szCs w:val="18"/>
              </w:rPr>
            </w:pPr>
          </w:p>
        </w:tc>
        <w:tc>
          <w:tcPr>
            <w:tcW w:w="806" w:type="dxa"/>
            <w:gridSpan w:val="3"/>
            <w:tcBorders>
              <w:left w:val="nil"/>
              <w:bottom w:val="nil"/>
              <w:right w:val="nil"/>
            </w:tcBorders>
            <w:vAlign w:val="center"/>
          </w:tcPr>
          <w:p w14:paraId="5E3C12AF" w14:textId="77777777" w:rsidR="0001288E" w:rsidRPr="0084477F" w:rsidRDefault="0001288E" w:rsidP="001A08FA">
            <w:pPr>
              <w:jc w:val="center"/>
              <w:rPr>
                <w:b/>
                <w:bCs/>
                <w:color w:val="000000"/>
                <w:sz w:val="18"/>
                <w:szCs w:val="18"/>
              </w:rPr>
            </w:pPr>
          </w:p>
        </w:tc>
        <w:tc>
          <w:tcPr>
            <w:tcW w:w="570" w:type="dxa"/>
            <w:tcBorders>
              <w:left w:val="nil"/>
              <w:bottom w:val="nil"/>
              <w:right w:val="nil"/>
            </w:tcBorders>
            <w:vAlign w:val="center"/>
          </w:tcPr>
          <w:p w14:paraId="41A5B2C5" w14:textId="77777777" w:rsidR="0001288E" w:rsidRPr="0084477F" w:rsidRDefault="0001288E" w:rsidP="001A08FA">
            <w:pPr>
              <w:jc w:val="center"/>
              <w:rPr>
                <w:b/>
                <w:bCs/>
                <w:color w:val="000000"/>
                <w:sz w:val="18"/>
                <w:szCs w:val="18"/>
              </w:rPr>
            </w:pPr>
          </w:p>
        </w:tc>
      </w:tr>
      <w:tr w:rsidR="0001288E" w:rsidRPr="0084477F" w14:paraId="0DD7E0D9" w14:textId="77777777" w:rsidTr="00241E8E">
        <w:trPr>
          <w:trHeight w:val="320"/>
        </w:trPr>
        <w:tc>
          <w:tcPr>
            <w:tcW w:w="1800" w:type="dxa"/>
            <w:tcBorders>
              <w:top w:val="nil"/>
              <w:left w:val="nil"/>
              <w:bottom w:val="single" w:sz="8" w:space="0" w:color="auto"/>
              <w:right w:val="nil"/>
            </w:tcBorders>
            <w:shd w:val="clear" w:color="auto" w:fill="auto"/>
            <w:noWrap/>
            <w:vAlign w:val="center"/>
            <w:hideMark/>
          </w:tcPr>
          <w:p w14:paraId="6E8E49F0" w14:textId="77777777" w:rsidR="0001288E" w:rsidRPr="0084477F" w:rsidRDefault="0001288E" w:rsidP="001A08FA">
            <w:pPr>
              <w:rPr>
                <w:color w:val="000000"/>
                <w:sz w:val="18"/>
                <w:szCs w:val="18"/>
              </w:rPr>
            </w:pPr>
            <w:r w:rsidRPr="0084477F">
              <w:rPr>
                <w:color w:val="000000"/>
                <w:sz w:val="18"/>
                <w:szCs w:val="18"/>
              </w:rPr>
              <w:t>EE21</w:t>
            </w:r>
          </w:p>
        </w:tc>
        <w:tc>
          <w:tcPr>
            <w:tcW w:w="866" w:type="dxa"/>
            <w:tcBorders>
              <w:top w:val="nil"/>
              <w:left w:val="nil"/>
              <w:bottom w:val="single" w:sz="8" w:space="0" w:color="auto"/>
              <w:right w:val="single" w:sz="4" w:space="0" w:color="auto"/>
            </w:tcBorders>
            <w:shd w:val="clear" w:color="auto" w:fill="auto"/>
            <w:noWrap/>
            <w:vAlign w:val="center"/>
            <w:hideMark/>
          </w:tcPr>
          <w:p w14:paraId="63B76875" w14:textId="77777777" w:rsidR="0001288E" w:rsidRPr="0084477F" w:rsidRDefault="0001288E" w:rsidP="001A08FA">
            <w:pPr>
              <w:jc w:val="center"/>
              <w:rPr>
                <w:color w:val="000000"/>
                <w:sz w:val="18"/>
                <w:szCs w:val="18"/>
              </w:rPr>
            </w:pPr>
            <w:r>
              <w:rPr>
                <w:color w:val="000000"/>
                <w:sz w:val="18"/>
                <w:szCs w:val="18"/>
              </w:rPr>
              <w:t>-0.84</w:t>
            </w:r>
            <w:r w:rsidRPr="00001208">
              <w:rPr>
                <w:color w:val="000000"/>
                <w:sz w:val="18"/>
                <w:szCs w:val="18"/>
                <w:vertAlign w:val="superscript"/>
              </w:rPr>
              <w:t>a</w:t>
            </w:r>
          </w:p>
        </w:tc>
        <w:tc>
          <w:tcPr>
            <w:tcW w:w="864" w:type="dxa"/>
            <w:tcBorders>
              <w:top w:val="nil"/>
              <w:left w:val="single" w:sz="4" w:space="0" w:color="auto"/>
              <w:bottom w:val="single" w:sz="8" w:space="0" w:color="auto"/>
              <w:right w:val="single" w:sz="4" w:space="0" w:color="auto"/>
            </w:tcBorders>
            <w:vAlign w:val="center"/>
          </w:tcPr>
          <w:p w14:paraId="0E2F3C7B" w14:textId="77777777" w:rsidR="0001288E" w:rsidRPr="0084477F" w:rsidRDefault="0001288E" w:rsidP="001A08FA">
            <w:pPr>
              <w:jc w:val="center"/>
              <w:rPr>
                <w:color w:val="000000"/>
                <w:sz w:val="18"/>
                <w:szCs w:val="18"/>
              </w:rPr>
            </w:pPr>
            <w:r>
              <w:rPr>
                <w:color w:val="000000"/>
                <w:sz w:val="18"/>
                <w:szCs w:val="18"/>
              </w:rPr>
              <w:t>0.20</w:t>
            </w:r>
            <w:r w:rsidRPr="00001208">
              <w:rPr>
                <w:color w:val="000000"/>
                <w:sz w:val="18"/>
                <w:szCs w:val="18"/>
                <w:vertAlign w:val="superscript"/>
              </w:rPr>
              <w:t>b</w:t>
            </w:r>
          </w:p>
        </w:tc>
        <w:tc>
          <w:tcPr>
            <w:tcW w:w="866" w:type="dxa"/>
            <w:tcBorders>
              <w:top w:val="nil"/>
              <w:left w:val="single" w:sz="4" w:space="0" w:color="auto"/>
              <w:bottom w:val="single" w:sz="8" w:space="0" w:color="auto"/>
              <w:right w:val="single" w:sz="4" w:space="0" w:color="auto"/>
            </w:tcBorders>
            <w:shd w:val="clear" w:color="auto" w:fill="auto"/>
            <w:noWrap/>
            <w:vAlign w:val="center"/>
            <w:hideMark/>
          </w:tcPr>
          <w:p w14:paraId="452FE458" w14:textId="77777777" w:rsidR="0001288E" w:rsidRPr="0084477F" w:rsidRDefault="0001288E" w:rsidP="001A08FA">
            <w:pPr>
              <w:jc w:val="center"/>
              <w:rPr>
                <w:color w:val="000000"/>
                <w:sz w:val="18"/>
                <w:szCs w:val="18"/>
              </w:rPr>
            </w:pPr>
            <w:r>
              <w:rPr>
                <w:color w:val="000000"/>
                <w:sz w:val="18"/>
                <w:szCs w:val="18"/>
              </w:rPr>
              <w:t>0.13</w:t>
            </w:r>
            <w:r w:rsidRPr="00001208">
              <w:rPr>
                <w:color w:val="000000"/>
                <w:sz w:val="18"/>
                <w:szCs w:val="18"/>
                <w:vertAlign w:val="superscript"/>
              </w:rPr>
              <w:t>b</w:t>
            </w:r>
          </w:p>
        </w:tc>
        <w:tc>
          <w:tcPr>
            <w:tcW w:w="864" w:type="dxa"/>
            <w:tcBorders>
              <w:top w:val="nil"/>
              <w:left w:val="single" w:sz="4" w:space="0" w:color="auto"/>
              <w:bottom w:val="single" w:sz="8" w:space="0" w:color="auto"/>
              <w:right w:val="single" w:sz="4" w:space="0" w:color="auto"/>
            </w:tcBorders>
            <w:vAlign w:val="center"/>
          </w:tcPr>
          <w:p w14:paraId="5957DD82" w14:textId="77777777" w:rsidR="0001288E" w:rsidRDefault="0001288E" w:rsidP="001A08FA">
            <w:pPr>
              <w:jc w:val="center"/>
              <w:rPr>
                <w:color w:val="000000"/>
                <w:sz w:val="18"/>
                <w:szCs w:val="18"/>
              </w:rPr>
            </w:pPr>
            <w:r>
              <w:rPr>
                <w:color w:val="000000"/>
                <w:sz w:val="18"/>
                <w:szCs w:val="18"/>
              </w:rPr>
              <w:t>0.01</w:t>
            </w:r>
            <w:r w:rsidRPr="00001208">
              <w:rPr>
                <w:color w:val="000000"/>
                <w:sz w:val="18"/>
                <w:szCs w:val="18"/>
                <w:vertAlign w:val="superscript"/>
              </w:rPr>
              <w:t>b</w:t>
            </w:r>
          </w:p>
        </w:tc>
        <w:tc>
          <w:tcPr>
            <w:tcW w:w="866" w:type="dxa"/>
            <w:tcBorders>
              <w:top w:val="nil"/>
              <w:left w:val="single" w:sz="4" w:space="0" w:color="auto"/>
              <w:bottom w:val="single" w:sz="8" w:space="0" w:color="auto"/>
              <w:right w:val="single" w:sz="4" w:space="0" w:color="auto"/>
            </w:tcBorders>
            <w:shd w:val="clear" w:color="auto" w:fill="auto"/>
            <w:noWrap/>
            <w:vAlign w:val="center"/>
            <w:hideMark/>
          </w:tcPr>
          <w:p w14:paraId="1AD9A064" w14:textId="77777777" w:rsidR="0001288E" w:rsidRPr="0084477F" w:rsidRDefault="0001288E" w:rsidP="001A08FA">
            <w:pPr>
              <w:jc w:val="center"/>
              <w:rPr>
                <w:color w:val="000000"/>
                <w:sz w:val="18"/>
                <w:szCs w:val="18"/>
              </w:rPr>
            </w:pPr>
            <w:r>
              <w:rPr>
                <w:color w:val="000000"/>
                <w:sz w:val="18"/>
                <w:szCs w:val="18"/>
              </w:rPr>
              <w:t>-0.03</w:t>
            </w:r>
            <w:r w:rsidRPr="00001208">
              <w:rPr>
                <w:color w:val="000000"/>
                <w:sz w:val="18"/>
                <w:szCs w:val="18"/>
                <w:vertAlign w:val="superscript"/>
              </w:rPr>
              <w:t>b</w:t>
            </w:r>
          </w:p>
        </w:tc>
        <w:tc>
          <w:tcPr>
            <w:tcW w:w="864" w:type="dxa"/>
            <w:tcBorders>
              <w:top w:val="nil"/>
              <w:left w:val="single" w:sz="4" w:space="0" w:color="auto"/>
              <w:bottom w:val="single" w:sz="8" w:space="0" w:color="auto"/>
              <w:right w:val="nil"/>
            </w:tcBorders>
            <w:vAlign w:val="center"/>
          </w:tcPr>
          <w:p w14:paraId="29EADFD7" w14:textId="77777777" w:rsidR="0001288E" w:rsidRDefault="0001288E" w:rsidP="001A08FA">
            <w:pPr>
              <w:jc w:val="center"/>
              <w:rPr>
                <w:color w:val="000000"/>
                <w:sz w:val="18"/>
                <w:szCs w:val="18"/>
              </w:rPr>
            </w:pPr>
            <w:r>
              <w:rPr>
                <w:color w:val="000000"/>
                <w:sz w:val="18"/>
                <w:szCs w:val="18"/>
              </w:rPr>
              <w:t>0.15</w:t>
            </w:r>
            <w:r w:rsidRPr="00001208">
              <w:rPr>
                <w:color w:val="000000"/>
                <w:sz w:val="18"/>
                <w:szCs w:val="18"/>
                <w:vertAlign w:val="superscript"/>
              </w:rPr>
              <w:t>b</w:t>
            </w:r>
          </w:p>
        </w:tc>
        <w:tc>
          <w:tcPr>
            <w:tcW w:w="1354" w:type="dxa"/>
            <w:gridSpan w:val="2"/>
            <w:tcBorders>
              <w:top w:val="nil"/>
              <w:left w:val="nil"/>
              <w:bottom w:val="single" w:sz="8" w:space="0" w:color="auto"/>
              <w:right w:val="nil"/>
            </w:tcBorders>
            <w:vAlign w:val="center"/>
          </w:tcPr>
          <w:p w14:paraId="329A07D5" w14:textId="77777777" w:rsidR="0001288E" w:rsidRDefault="0001288E" w:rsidP="001A08FA">
            <w:pPr>
              <w:jc w:val="center"/>
              <w:rPr>
                <w:color w:val="000000"/>
                <w:sz w:val="18"/>
                <w:szCs w:val="18"/>
              </w:rPr>
            </w:pPr>
            <w:r>
              <w:rPr>
                <w:color w:val="000000"/>
                <w:sz w:val="18"/>
                <w:szCs w:val="18"/>
              </w:rPr>
              <w:t>Welch: 12.279</w:t>
            </w:r>
          </w:p>
        </w:tc>
        <w:tc>
          <w:tcPr>
            <w:tcW w:w="806" w:type="dxa"/>
            <w:gridSpan w:val="3"/>
            <w:tcBorders>
              <w:top w:val="nil"/>
              <w:left w:val="nil"/>
              <w:bottom w:val="single" w:sz="8" w:space="0" w:color="auto"/>
              <w:right w:val="nil"/>
            </w:tcBorders>
            <w:vAlign w:val="center"/>
          </w:tcPr>
          <w:p w14:paraId="5A2B5037" w14:textId="77777777" w:rsidR="0001288E" w:rsidRDefault="0001288E" w:rsidP="001A08FA">
            <w:pPr>
              <w:jc w:val="center"/>
              <w:rPr>
                <w:color w:val="000000"/>
                <w:sz w:val="18"/>
                <w:szCs w:val="18"/>
              </w:rPr>
            </w:pPr>
            <w:r>
              <w:rPr>
                <w:color w:val="000000"/>
                <w:sz w:val="18"/>
                <w:szCs w:val="18"/>
              </w:rPr>
              <w:t>&lt; 0.001</w:t>
            </w:r>
          </w:p>
        </w:tc>
        <w:tc>
          <w:tcPr>
            <w:tcW w:w="570" w:type="dxa"/>
            <w:tcBorders>
              <w:top w:val="nil"/>
              <w:left w:val="nil"/>
              <w:bottom w:val="single" w:sz="8" w:space="0" w:color="auto"/>
              <w:right w:val="nil"/>
            </w:tcBorders>
            <w:vAlign w:val="center"/>
          </w:tcPr>
          <w:p w14:paraId="4AB14604" w14:textId="77777777" w:rsidR="0001288E" w:rsidRDefault="0001288E" w:rsidP="001A08FA">
            <w:pPr>
              <w:jc w:val="center"/>
              <w:rPr>
                <w:color w:val="000000"/>
                <w:sz w:val="18"/>
                <w:szCs w:val="18"/>
              </w:rPr>
            </w:pPr>
            <w:r>
              <w:rPr>
                <w:color w:val="000000"/>
                <w:sz w:val="18"/>
                <w:szCs w:val="18"/>
              </w:rPr>
              <w:t>0.182</w:t>
            </w:r>
          </w:p>
        </w:tc>
      </w:tr>
      <w:tr w:rsidR="0001288E" w:rsidRPr="0084477F" w14:paraId="6400186F" w14:textId="77777777" w:rsidTr="00241E8E">
        <w:trPr>
          <w:trHeight w:val="320"/>
        </w:trPr>
        <w:tc>
          <w:tcPr>
            <w:tcW w:w="1800" w:type="dxa"/>
            <w:tcBorders>
              <w:left w:val="nil"/>
              <w:right w:val="nil"/>
            </w:tcBorders>
            <w:shd w:val="clear" w:color="auto" w:fill="auto"/>
            <w:noWrap/>
            <w:vAlign w:val="center"/>
            <w:hideMark/>
          </w:tcPr>
          <w:p w14:paraId="2DD98CB2" w14:textId="77777777" w:rsidR="0001288E" w:rsidRPr="0084477F" w:rsidRDefault="0001288E" w:rsidP="001A08FA">
            <w:pPr>
              <w:rPr>
                <w:i/>
                <w:sz w:val="18"/>
                <w:szCs w:val="18"/>
              </w:rPr>
            </w:pPr>
            <w:r w:rsidRPr="0084477F">
              <w:rPr>
                <w:i/>
                <w:color w:val="000000"/>
                <w:sz w:val="18"/>
                <w:szCs w:val="18"/>
              </w:rPr>
              <w:t>20-point landslide</w:t>
            </w:r>
            <w:r w:rsidRPr="0084477F">
              <w:rPr>
                <w:i/>
                <w:sz w:val="18"/>
                <w:szCs w:val="18"/>
              </w:rPr>
              <w:t xml:space="preserve"> (</w:t>
            </w:r>
            <w:r>
              <w:rPr>
                <w:i/>
                <w:sz w:val="18"/>
                <w:szCs w:val="18"/>
              </w:rPr>
              <w:t>n</w:t>
            </w:r>
            <w:r w:rsidRPr="0084477F">
              <w:rPr>
                <w:i/>
                <w:sz w:val="18"/>
                <w:szCs w:val="18"/>
              </w:rPr>
              <w:t>)</w:t>
            </w:r>
          </w:p>
        </w:tc>
        <w:tc>
          <w:tcPr>
            <w:tcW w:w="866" w:type="dxa"/>
            <w:tcBorders>
              <w:left w:val="nil"/>
              <w:right w:val="single" w:sz="4" w:space="0" w:color="auto"/>
            </w:tcBorders>
            <w:shd w:val="clear" w:color="auto" w:fill="auto"/>
            <w:noWrap/>
            <w:vAlign w:val="center"/>
            <w:hideMark/>
          </w:tcPr>
          <w:p w14:paraId="0DF7546C" w14:textId="77777777" w:rsidR="0001288E" w:rsidRPr="0084477F" w:rsidRDefault="0001288E" w:rsidP="001A08FA">
            <w:pPr>
              <w:jc w:val="center"/>
              <w:rPr>
                <w:i/>
                <w:iCs/>
                <w:color w:val="000000"/>
                <w:sz w:val="18"/>
                <w:szCs w:val="18"/>
              </w:rPr>
            </w:pPr>
            <w:r w:rsidRPr="0084477F">
              <w:rPr>
                <w:i/>
                <w:iCs/>
                <w:color w:val="000000"/>
                <w:sz w:val="18"/>
                <w:szCs w:val="18"/>
              </w:rPr>
              <w:t>(</w:t>
            </w:r>
            <w:r>
              <w:rPr>
                <w:i/>
                <w:iCs/>
                <w:color w:val="000000"/>
                <w:sz w:val="18"/>
                <w:szCs w:val="18"/>
              </w:rPr>
              <w:t>26</w:t>
            </w:r>
            <w:r w:rsidRPr="0084477F">
              <w:rPr>
                <w:i/>
                <w:iCs/>
                <w:color w:val="000000"/>
                <w:sz w:val="18"/>
                <w:szCs w:val="18"/>
              </w:rPr>
              <w:t>)</w:t>
            </w:r>
          </w:p>
        </w:tc>
        <w:tc>
          <w:tcPr>
            <w:tcW w:w="864" w:type="dxa"/>
            <w:tcBorders>
              <w:left w:val="single" w:sz="4" w:space="0" w:color="auto"/>
              <w:right w:val="single" w:sz="4" w:space="0" w:color="auto"/>
            </w:tcBorders>
            <w:vAlign w:val="center"/>
          </w:tcPr>
          <w:p w14:paraId="646E58D9" w14:textId="77777777" w:rsidR="0001288E" w:rsidRPr="0084477F" w:rsidRDefault="0001288E" w:rsidP="001A08FA">
            <w:pPr>
              <w:jc w:val="center"/>
              <w:rPr>
                <w:i/>
                <w:iCs/>
                <w:color w:val="000000"/>
                <w:sz w:val="18"/>
                <w:szCs w:val="18"/>
              </w:rPr>
            </w:pPr>
            <w:r>
              <w:rPr>
                <w:i/>
                <w:iCs/>
                <w:color w:val="000000"/>
                <w:sz w:val="18"/>
                <w:szCs w:val="18"/>
              </w:rPr>
              <w:t>(65)</w:t>
            </w:r>
          </w:p>
        </w:tc>
        <w:tc>
          <w:tcPr>
            <w:tcW w:w="866" w:type="dxa"/>
            <w:tcBorders>
              <w:left w:val="single" w:sz="4" w:space="0" w:color="auto"/>
              <w:right w:val="single" w:sz="4" w:space="0" w:color="auto"/>
            </w:tcBorders>
            <w:shd w:val="clear" w:color="auto" w:fill="auto"/>
            <w:noWrap/>
            <w:vAlign w:val="center"/>
            <w:hideMark/>
          </w:tcPr>
          <w:p w14:paraId="78535DB6" w14:textId="77777777" w:rsidR="0001288E" w:rsidRPr="0084477F" w:rsidRDefault="0001288E" w:rsidP="001A08FA">
            <w:pPr>
              <w:jc w:val="center"/>
              <w:rPr>
                <w:i/>
                <w:iCs/>
                <w:color w:val="000000"/>
                <w:sz w:val="18"/>
                <w:szCs w:val="18"/>
              </w:rPr>
            </w:pPr>
            <w:r>
              <w:rPr>
                <w:i/>
                <w:iCs/>
                <w:color w:val="000000"/>
                <w:sz w:val="18"/>
                <w:szCs w:val="18"/>
              </w:rPr>
              <w:t>(26)</w:t>
            </w:r>
          </w:p>
        </w:tc>
        <w:tc>
          <w:tcPr>
            <w:tcW w:w="864" w:type="dxa"/>
            <w:tcBorders>
              <w:left w:val="single" w:sz="4" w:space="0" w:color="auto"/>
              <w:right w:val="single" w:sz="4" w:space="0" w:color="auto"/>
            </w:tcBorders>
            <w:vAlign w:val="center"/>
          </w:tcPr>
          <w:p w14:paraId="313F0A00" w14:textId="77777777" w:rsidR="0001288E" w:rsidRPr="0084477F" w:rsidRDefault="0001288E" w:rsidP="001A08FA">
            <w:pPr>
              <w:jc w:val="center"/>
              <w:rPr>
                <w:i/>
                <w:iCs/>
                <w:color w:val="000000"/>
                <w:sz w:val="18"/>
                <w:szCs w:val="18"/>
              </w:rPr>
            </w:pPr>
            <w:r>
              <w:rPr>
                <w:i/>
                <w:iCs/>
                <w:color w:val="000000"/>
                <w:sz w:val="18"/>
                <w:szCs w:val="18"/>
              </w:rPr>
              <w:t>(56)</w:t>
            </w:r>
          </w:p>
        </w:tc>
        <w:tc>
          <w:tcPr>
            <w:tcW w:w="866" w:type="dxa"/>
            <w:tcBorders>
              <w:left w:val="single" w:sz="4" w:space="0" w:color="auto"/>
              <w:right w:val="single" w:sz="4" w:space="0" w:color="auto"/>
            </w:tcBorders>
            <w:shd w:val="clear" w:color="auto" w:fill="auto"/>
            <w:noWrap/>
            <w:vAlign w:val="center"/>
            <w:hideMark/>
          </w:tcPr>
          <w:p w14:paraId="5A6F77A4" w14:textId="77777777" w:rsidR="0001288E" w:rsidRPr="0084477F" w:rsidRDefault="0001288E" w:rsidP="001A08FA">
            <w:pPr>
              <w:jc w:val="center"/>
              <w:rPr>
                <w:i/>
                <w:iCs/>
                <w:color w:val="000000"/>
                <w:sz w:val="18"/>
                <w:szCs w:val="18"/>
              </w:rPr>
            </w:pPr>
            <w:r>
              <w:rPr>
                <w:i/>
                <w:iCs/>
                <w:color w:val="000000"/>
                <w:sz w:val="18"/>
                <w:szCs w:val="18"/>
              </w:rPr>
              <w:t>(27)</w:t>
            </w:r>
          </w:p>
        </w:tc>
        <w:tc>
          <w:tcPr>
            <w:tcW w:w="864" w:type="dxa"/>
            <w:tcBorders>
              <w:left w:val="single" w:sz="4" w:space="0" w:color="auto"/>
              <w:right w:val="nil"/>
            </w:tcBorders>
            <w:vAlign w:val="center"/>
          </w:tcPr>
          <w:p w14:paraId="014DC006" w14:textId="77777777" w:rsidR="0001288E" w:rsidRPr="00511225" w:rsidRDefault="0001288E" w:rsidP="001A08FA">
            <w:pPr>
              <w:jc w:val="center"/>
              <w:rPr>
                <w:i/>
                <w:iCs/>
                <w:color w:val="000000"/>
                <w:sz w:val="18"/>
                <w:szCs w:val="18"/>
              </w:rPr>
            </w:pPr>
            <w:r>
              <w:rPr>
                <w:i/>
                <w:iCs/>
                <w:color w:val="000000"/>
                <w:sz w:val="18"/>
                <w:szCs w:val="18"/>
              </w:rPr>
              <w:t>(31)</w:t>
            </w:r>
          </w:p>
        </w:tc>
        <w:tc>
          <w:tcPr>
            <w:tcW w:w="1354" w:type="dxa"/>
            <w:gridSpan w:val="2"/>
            <w:tcBorders>
              <w:left w:val="nil"/>
              <w:right w:val="nil"/>
            </w:tcBorders>
            <w:vAlign w:val="center"/>
          </w:tcPr>
          <w:p w14:paraId="1ECC59CF" w14:textId="77777777" w:rsidR="0001288E" w:rsidRPr="0084477F" w:rsidRDefault="0001288E" w:rsidP="001A08FA">
            <w:pPr>
              <w:jc w:val="center"/>
              <w:rPr>
                <w:color w:val="000000"/>
                <w:sz w:val="18"/>
                <w:szCs w:val="18"/>
              </w:rPr>
            </w:pPr>
          </w:p>
        </w:tc>
        <w:tc>
          <w:tcPr>
            <w:tcW w:w="806" w:type="dxa"/>
            <w:gridSpan w:val="3"/>
            <w:tcBorders>
              <w:left w:val="nil"/>
              <w:right w:val="nil"/>
            </w:tcBorders>
            <w:vAlign w:val="center"/>
          </w:tcPr>
          <w:p w14:paraId="209E1373" w14:textId="77777777" w:rsidR="0001288E" w:rsidRPr="0084477F" w:rsidRDefault="0001288E" w:rsidP="001A08FA">
            <w:pPr>
              <w:jc w:val="center"/>
              <w:rPr>
                <w:color w:val="000000"/>
                <w:sz w:val="18"/>
                <w:szCs w:val="18"/>
              </w:rPr>
            </w:pPr>
          </w:p>
        </w:tc>
        <w:tc>
          <w:tcPr>
            <w:tcW w:w="570" w:type="dxa"/>
            <w:tcBorders>
              <w:left w:val="nil"/>
              <w:right w:val="nil"/>
            </w:tcBorders>
            <w:vAlign w:val="center"/>
          </w:tcPr>
          <w:p w14:paraId="6B5CD910" w14:textId="77777777" w:rsidR="0001288E" w:rsidRPr="0084477F" w:rsidRDefault="0001288E" w:rsidP="001A08FA">
            <w:pPr>
              <w:jc w:val="center"/>
              <w:rPr>
                <w:color w:val="000000"/>
                <w:sz w:val="18"/>
                <w:szCs w:val="18"/>
              </w:rPr>
            </w:pPr>
          </w:p>
        </w:tc>
      </w:tr>
      <w:tr w:rsidR="0001288E" w:rsidRPr="0084477F" w14:paraId="7A709141" w14:textId="77777777" w:rsidTr="00241E8E">
        <w:trPr>
          <w:trHeight w:val="320"/>
        </w:trPr>
        <w:tc>
          <w:tcPr>
            <w:tcW w:w="1800" w:type="dxa"/>
            <w:tcBorders>
              <w:top w:val="nil"/>
              <w:left w:val="nil"/>
              <w:bottom w:val="single" w:sz="18" w:space="0" w:color="auto"/>
              <w:right w:val="nil"/>
            </w:tcBorders>
            <w:shd w:val="clear" w:color="auto" w:fill="auto"/>
            <w:noWrap/>
            <w:vAlign w:val="center"/>
            <w:hideMark/>
          </w:tcPr>
          <w:p w14:paraId="72B645D8" w14:textId="77777777" w:rsidR="0001288E" w:rsidRPr="0084477F" w:rsidRDefault="0001288E" w:rsidP="001A08FA">
            <w:pPr>
              <w:rPr>
                <w:color w:val="000000"/>
                <w:sz w:val="18"/>
                <w:szCs w:val="18"/>
              </w:rPr>
            </w:pPr>
            <w:r w:rsidRPr="0084477F">
              <w:rPr>
                <w:color w:val="000000"/>
                <w:sz w:val="18"/>
                <w:szCs w:val="18"/>
              </w:rPr>
              <w:t>EE21</w:t>
            </w:r>
          </w:p>
        </w:tc>
        <w:tc>
          <w:tcPr>
            <w:tcW w:w="866" w:type="dxa"/>
            <w:tcBorders>
              <w:top w:val="nil"/>
              <w:left w:val="nil"/>
              <w:bottom w:val="single" w:sz="18" w:space="0" w:color="auto"/>
              <w:right w:val="single" w:sz="4" w:space="0" w:color="auto"/>
            </w:tcBorders>
            <w:shd w:val="clear" w:color="auto" w:fill="auto"/>
            <w:noWrap/>
            <w:vAlign w:val="center"/>
            <w:hideMark/>
          </w:tcPr>
          <w:p w14:paraId="55A26268" w14:textId="77777777" w:rsidR="0001288E" w:rsidRPr="0084477F" w:rsidRDefault="0001288E" w:rsidP="001A08FA">
            <w:pPr>
              <w:jc w:val="center"/>
              <w:rPr>
                <w:color w:val="000000"/>
                <w:sz w:val="18"/>
                <w:szCs w:val="18"/>
              </w:rPr>
            </w:pPr>
            <w:r w:rsidRPr="0084477F">
              <w:rPr>
                <w:color w:val="000000"/>
                <w:sz w:val="18"/>
                <w:szCs w:val="18"/>
              </w:rPr>
              <w:t>-0</w:t>
            </w:r>
            <w:r>
              <w:rPr>
                <w:color w:val="000000"/>
                <w:sz w:val="18"/>
                <w:szCs w:val="18"/>
              </w:rPr>
              <w:t>.83</w:t>
            </w:r>
            <w:r w:rsidRPr="0084477F">
              <w:rPr>
                <w:color w:val="000000"/>
                <w:sz w:val="18"/>
                <w:szCs w:val="18"/>
                <w:vertAlign w:val="superscript"/>
              </w:rPr>
              <w:t>a</w:t>
            </w:r>
          </w:p>
        </w:tc>
        <w:tc>
          <w:tcPr>
            <w:tcW w:w="864" w:type="dxa"/>
            <w:tcBorders>
              <w:top w:val="nil"/>
              <w:left w:val="single" w:sz="4" w:space="0" w:color="auto"/>
              <w:bottom w:val="single" w:sz="18" w:space="0" w:color="auto"/>
              <w:right w:val="single" w:sz="4" w:space="0" w:color="auto"/>
            </w:tcBorders>
            <w:vAlign w:val="center"/>
          </w:tcPr>
          <w:p w14:paraId="51A62232" w14:textId="77777777" w:rsidR="0001288E" w:rsidRDefault="0001288E" w:rsidP="001A08FA">
            <w:pPr>
              <w:jc w:val="center"/>
              <w:rPr>
                <w:color w:val="000000"/>
                <w:sz w:val="18"/>
                <w:szCs w:val="18"/>
              </w:rPr>
            </w:pPr>
            <w:r>
              <w:rPr>
                <w:color w:val="000000"/>
                <w:sz w:val="18"/>
                <w:szCs w:val="18"/>
              </w:rPr>
              <w:t>0.18</w:t>
            </w:r>
            <w:r w:rsidRPr="00511225">
              <w:rPr>
                <w:color w:val="000000"/>
                <w:sz w:val="18"/>
                <w:szCs w:val="18"/>
                <w:vertAlign w:val="superscript"/>
              </w:rPr>
              <w:t>b</w:t>
            </w:r>
          </w:p>
        </w:tc>
        <w:tc>
          <w:tcPr>
            <w:tcW w:w="866" w:type="dxa"/>
            <w:tcBorders>
              <w:top w:val="nil"/>
              <w:left w:val="single" w:sz="4" w:space="0" w:color="auto"/>
              <w:bottom w:val="single" w:sz="18" w:space="0" w:color="auto"/>
              <w:right w:val="single" w:sz="4" w:space="0" w:color="auto"/>
            </w:tcBorders>
            <w:shd w:val="clear" w:color="auto" w:fill="auto"/>
            <w:noWrap/>
            <w:vAlign w:val="center"/>
            <w:hideMark/>
          </w:tcPr>
          <w:p w14:paraId="6D7AC003" w14:textId="77777777" w:rsidR="0001288E" w:rsidRPr="0084477F" w:rsidRDefault="0001288E" w:rsidP="001A08FA">
            <w:pPr>
              <w:jc w:val="center"/>
              <w:rPr>
                <w:color w:val="000000"/>
                <w:sz w:val="18"/>
                <w:szCs w:val="18"/>
              </w:rPr>
            </w:pPr>
            <w:r>
              <w:rPr>
                <w:color w:val="000000"/>
                <w:sz w:val="18"/>
                <w:szCs w:val="18"/>
              </w:rPr>
              <w:t>-0.31</w:t>
            </w:r>
            <w:r w:rsidRPr="00511225">
              <w:rPr>
                <w:color w:val="000000"/>
                <w:sz w:val="18"/>
                <w:szCs w:val="18"/>
                <w:vertAlign w:val="superscript"/>
              </w:rPr>
              <w:t>ab</w:t>
            </w:r>
          </w:p>
        </w:tc>
        <w:tc>
          <w:tcPr>
            <w:tcW w:w="864" w:type="dxa"/>
            <w:tcBorders>
              <w:top w:val="nil"/>
              <w:left w:val="single" w:sz="4" w:space="0" w:color="auto"/>
              <w:bottom w:val="single" w:sz="18" w:space="0" w:color="auto"/>
              <w:right w:val="single" w:sz="4" w:space="0" w:color="auto"/>
            </w:tcBorders>
            <w:vAlign w:val="center"/>
          </w:tcPr>
          <w:p w14:paraId="192529DB" w14:textId="77777777" w:rsidR="0001288E" w:rsidRPr="0084477F" w:rsidRDefault="0001288E" w:rsidP="001A08FA">
            <w:pPr>
              <w:jc w:val="center"/>
              <w:rPr>
                <w:color w:val="000000"/>
                <w:sz w:val="18"/>
                <w:szCs w:val="18"/>
              </w:rPr>
            </w:pPr>
            <w:r>
              <w:rPr>
                <w:color w:val="000000"/>
                <w:sz w:val="18"/>
                <w:szCs w:val="18"/>
              </w:rPr>
              <w:t>0.07</w:t>
            </w:r>
            <w:r w:rsidRPr="00511225">
              <w:rPr>
                <w:color w:val="000000"/>
                <w:sz w:val="18"/>
                <w:szCs w:val="18"/>
                <w:vertAlign w:val="superscript"/>
              </w:rPr>
              <w:t>b</w:t>
            </w:r>
          </w:p>
        </w:tc>
        <w:tc>
          <w:tcPr>
            <w:tcW w:w="866" w:type="dxa"/>
            <w:tcBorders>
              <w:top w:val="nil"/>
              <w:left w:val="single" w:sz="4" w:space="0" w:color="auto"/>
              <w:bottom w:val="single" w:sz="18" w:space="0" w:color="auto"/>
              <w:right w:val="single" w:sz="4" w:space="0" w:color="auto"/>
            </w:tcBorders>
            <w:shd w:val="clear" w:color="auto" w:fill="auto"/>
            <w:noWrap/>
            <w:vAlign w:val="center"/>
            <w:hideMark/>
          </w:tcPr>
          <w:p w14:paraId="41C3664A" w14:textId="77777777" w:rsidR="0001288E" w:rsidRPr="0084477F" w:rsidRDefault="0001288E" w:rsidP="001A08FA">
            <w:pPr>
              <w:jc w:val="center"/>
              <w:rPr>
                <w:color w:val="000000"/>
                <w:sz w:val="18"/>
                <w:szCs w:val="18"/>
              </w:rPr>
            </w:pPr>
            <w:r>
              <w:rPr>
                <w:color w:val="000000"/>
                <w:sz w:val="18"/>
                <w:szCs w:val="18"/>
              </w:rPr>
              <w:t>0.25</w:t>
            </w:r>
            <w:r w:rsidRPr="00511225">
              <w:rPr>
                <w:color w:val="000000"/>
                <w:sz w:val="18"/>
                <w:szCs w:val="18"/>
                <w:vertAlign w:val="superscript"/>
              </w:rPr>
              <w:t>b</w:t>
            </w:r>
          </w:p>
        </w:tc>
        <w:tc>
          <w:tcPr>
            <w:tcW w:w="864" w:type="dxa"/>
            <w:tcBorders>
              <w:top w:val="nil"/>
              <w:left w:val="single" w:sz="4" w:space="0" w:color="auto"/>
              <w:bottom w:val="single" w:sz="18" w:space="0" w:color="auto"/>
              <w:right w:val="nil"/>
            </w:tcBorders>
            <w:vAlign w:val="center"/>
          </w:tcPr>
          <w:p w14:paraId="0037F369" w14:textId="77777777" w:rsidR="0001288E" w:rsidRPr="0084477F" w:rsidRDefault="0001288E" w:rsidP="001A08FA">
            <w:pPr>
              <w:jc w:val="center"/>
              <w:rPr>
                <w:color w:val="000000"/>
                <w:sz w:val="18"/>
                <w:szCs w:val="18"/>
              </w:rPr>
            </w:pPr>
            <w:r>
              <w:rPr>
                <w:color w:val="000000"/>
                <w:sz w:val="18"/>
                <w:szCs w:val="18"/>
              </w:rPr>
              <w:t>0.20</w:t>
            </w:r>
            <w:r w:rsidRPr="00511225">
              <w:rPr>
                <w:color w:val="000000"/>
                <w:sz w:val="18"/>
                <w:szCs w:val="18"/>
                <w:vertAlign w:val="superscript"/>
              </w:rPr>
              <w:t>b</w:t>
            </w:r>
          </w:p>
        </w:tc>
        <w:tc>
          <w:tcPr>
            <w:tcW w:w="1354" w:type="dxa"/>
            <w:gridSpan w:val="2"/>
            <w:tcBorders>
              <w:top w:val="nil"/>
              <w:left w:val="nil"/>
              <w:bottom w:val="single" w:sz="18" w:space="0" w:color="auto"/>
              <w:right w:val="nil"/>
            </w:tcBorders>
            <w:vAlign w:val="center"/>
          </w:tcPr>
          <w:p w14:paraId="7D81C467" w14:textId="77777777" w:rsidR="0001288E" w:rsidRPr="0084477F" w:rsidRDefault="0001288E" w:rsidP="001A08FA">
            <w:pPr>
              <w:jc w:val="center"/>
              <w:rPr>
                <w:color w:val="000000"/>
                <w:sz w:val="18"/>
                <w:szCs w:val="18"/>
              </w:rPr>
            </w:pPr>
            <w:r>
              <w:rPr>
                <w:color w:val="000000"/>
                <w:sz w:val="18"/>
                <w:szCs w:val="18"/>
              </w:rPr>
              <w:t>Welch: 11.717</w:t>
            </w:r>
          </w:p>
        </w:tc>
        <w:tc>
          <w:tcPr>
            <w:tcW w:w="806" w:type="dxa"/>
            <w:gridSpan w:val="3"/>
            <w:tcBorders>
              <w:top w:val="nil"/>
              <w:left w:val="nil"/>
              <w:bottom w:val="single" w:sz="18" w:space="0" w:color="auto"/>
              <w:right w:val="nil"/>
            </w:tcBorders>
            <w:vAlign w:val="center"/>
          </w:tcPr>
          <w:p w14:paraId="7658ABA3" w14:textId="77777777" w:rsidR="0001288E" w:rsidRPr="0084477F" w:rsidRDefault="0001288E" w:rsidP="001A08FA">
            <w:pPr>
              <w:jc w:val="center"/>
              <w:rPr>
                <w:color w:val="000000"/>
                <w:sz w:val="18"/>
                <w:szCs w:val="18"/>
              </w:rPr>
            </w:pPr>
            <w:r>
              <w:rPr>
                <w:color w:val="000000"/>
                <w:sz w:val="18"/>
                <w:szCs w:val="18"/>
              </w:rPr>
              <w:t>&lt; 0.001</w:t>
            </w:r>
          </w:p>
        </w:tc>
        <w:tc>
          <w:tcPr>
            <w:tcW w:w="570" w:type="dxa"/>
            <w:tcBorders>
              <w:top w:val="nil"/>
              <w:left w:val="nil"/>
              <w:bottom w:val="single" w:sz="18" w:space="0" w:color="auto"/>
              <w:right w:val="nil"/>
            </w:tcBorders>
            <w:vAlign w:val="center"/>
          </w:tcPr>
          <w:p w14:paraId="42BD7CFB" w14:textId="77777777" w:rsidR="0001288E" w:rsidRPr="0084477F" w:rsidRDefault="0001288E" w:rsidP="001A08FA">
            <w:pPr>
              <w:jc w:val="center"/>
              <w:rPr>
                <w:color w:val="000000"/>
                <w:sz w:val="18"/>
                <w:szCs w:val="18"/>
              </w:rPr>
            </w:pPr>
            <w:r>
              <w:rPr>
                <w:color w:val="000000"/>
                <w:sz w:val="18"/>
                <w:szCs w:val="18"/>
              </w:rPr>
              <w:t>0.194</w:t>
            </w:r>
          </w:p>
        </w:tc>
      </w:tr>
      <w:tr w:rsidR="0001288E" w:rsidRPr="0084477F" w14:paraId="40A371D0" w14:textId="77777777" w:rsidTr="00241E8E">
        <w:trPr>
          <w:trHeight w:val="320"/>
        </w:trPr>
        <w:tc>
          <w:tcPr>
            <w:tcW w:w="9720" w:type="dxa"/>
            <w:gridSpan w:val="13"/>
            <w:tcBorders>
              <w:top w:val="single" w:sz="18" w:space="0" w:color="auto"/>
              <w:left w:val="nil"/>
              <w:right w:val="nil"/>
            </w:tcBorders>
            <w:shd w:val="clear" w:color="auto" w:fill="auto"/>
            <w:noWrap/>
            <w:vAlign w:val="center"/>
          </w:tcPr>
          <w:p w14:paraId="4B817647" w14:textId="77777777" w:rsidR="0001288E" w:rsidRPr="0084477F" w:rsidRDefault="0001288E" w:rsidP="001A08FA">
            <w:pPr>
              <w:rPr>
                <w:color w:val="000000"/>
                <w:sz w:val="18"/>
                <w:szCs w:val="18"/>
              </w:rPr>
            </w:pPr>
            <w:r>
              <w:rPr>
                <w:bCs/>
                <w:sz w:val="18"/>
                <w:szCs w:val="18"/>
              </w:rPr>
              <w:t xml:space="preserve">Eta-squared effect size: </w:t>
            </w:r>
            <w:r w:rsidRPr="00E775DF">
              <w:rPr>
                <w:bCs/>
                <w:sz w:val="18"/>
                <w:szCs w:val="18"/>
              </w:rPr>
              <w:t>.0</w:t>
            </w:r>
            <w:r>
              <w:rPr>
                <w:bCs/>
                <w:sz w:val="18"/>
                <w:szCs w:val="18"/>
              </w:rPr>
              <w:t>1</w:t>
            </w:r>
            <w:r w:rsidRPr="00E775DF">
              <w:rPr>
                <w:bCs/>
                <w:sz w:val="18"/>
                <w:szCs w:val="18"/>
              </w:rPr>
              <w:t xml:space="preserve"> = small effect,</w:t>
            </w:r>
            <w:r>
              <w:rPr>
                <w:bCs/>
                <w:sz w:val="18"/>
                <w:szCs w:val="18"/>
              </w:rPr>
              <w:t xml:space="preserve"> </w:t>
            </w:r>
            <w:r w:rsidRPr="00E775DF">
              <w:rPr>
                <w:bCs/>
                <w:sz w:val="18"/>
                <w:szCs w:val="18"/>
              </w:rPr>
              <w:t>0.</w:t>
            </w:r>
            <w:r>
              <w:rPr>
                <w:bCs/>
                <w:sz w:val="18"/>
                <w:szCs w:val="18"/>
              </w:rPr>
              <w:t>06</w:t>
            </w:r>
            <w:r w:rsidRPr="00E775DF">
              <w:rPr>
                <w:bCs/>
                <w:sz w:val="18"/>
                <w:szCs w:val="18"/>
              </w:rPr>
              <w:t xml:space="preserve"> = medium effect, &amp; 0</w:t>
            </w:r>
            <w:r>
              <w:rPr>
                <w:bCs/>
                <w:sz w:val="18"/>
                <w:szCs w:val="18"/>
              </w:rPr>
              <w:t>.14</w:t>
            </w:r>
            <w:r w:rsidRPr="00E775DF">
              <w:rPr>
                <w:bCs/>
                <w:sz w:val="18"/>
                <w:szCs w:val="18"/>
              </w:rPr>
              <w:t xml:space="preserve"> = large effect</w:t>
            </w:r>
          </w:p>
        </w:tc>
      </w:tr>
    </w:tbl>
    <w:p w14:paraId="5952013E" w14:textId="77777777" w:rsidR="0001288E" w:rsidRPr="007720DC" w:rsidRDefault="0001288E" w:rsidP="0001288E">
      <w:pPr>
        <w:rPr>
          <w:b/>
          <w:bCs/>
          <w:i/>
          <w:iCs/>
        </w:rPr>
      </w:pPr>
    </w:p>
    <w:p w14:paraId="4AC03712" w14:textId="77777777" w:rsidR="006E458B" w:rsidRPr="00C26574" w:rsidRDefault="006E458B" w:rsidP="006E458B">
      <w:pPr>
        <w:jc w:val="both"/>
        <w:rPr>
          <w:rFonts w:eastAsiaTheme="majorEastAsia"/>
          <w:b/>
          <w:bCs/>
        </w:rPr>
      </w:pPr>
      <w:bookmarkStart w:id="32" w:name="_Hlk138936697"/>
      <w:bookmarkStart w:id="33" w:name="_Hlk138938485"/>
      <w:r w:rsidRPr="007720DC">
        <w:rPr>
          <w:b/>
          <w:bCs/>
        </w:rPr>
        <w:t>Discussion</w:t>
      </w:r>
    </w:p>
    <w:p w14:paraId="4B0D92EB" w14:textId="77777777" w:rsidR="006E458B" w:rsidRDefault="006E458B" w:rsidP="006E458B">
      <w:pPr>
        <w:ind w:firstLine="720"/>
        <w:jc w:val="both"/>
      </w:pPr>
      <w:r>
        <w:t>Because adolescents are exposed to the dominant political messages in their own communities, and are at a stage in life where they may be adopting politically-based social identities (Bishop, 2008; C</w:t>
      </w:r>
      <w:r w:rsidRPr="00187241">
        <w:t>onnell, 1971; Lewis-Beck et al., 2008; Campbell et al., 1960</w:t>
      </w:r>
      <w:r>
        <w:t xml:space="preserve">), we hypothesized differential responses to EE school field trip programs for middle school students from different sociopolitical contexts. Controlling for grade and race, analyses revealed that student groups from poorer contexts (irrespective of political context) and students from Republican or mixed political contexts (irrespective of income levels) had more positive EE21 </w:t>
      </w:r>
      <w:r>
        <w:lastRenderedPageBreak/>
        <w:t xml:space="preserve">outcomes than groups from wealthier Democratic contexts. These findings have both theoretical and practical </w:t>
      </w:r>
      <w:r w:rsidRPr="00727E00">
        <w:t xml:space="preserve">explanations </w:t>
      </w:r>
      <w:r>
        <w:t>and implications</w:t>
      </w:r>
      <w:r w:rsidRPr="00727E00">
        <w:t>.</w:t>
      </w:r>
    </w:p>
    <w:p w14:paraId="62CA11FE" w14:textId="77777777" w:rsidR="006E458B" w:rsidRPr="00974DEA" w:rsidRDefault="006E458B" w:rsidP="006E458B">
      <w:pPr>
        <w:ind w:firstLine="720"/>
        <w:jc w:val="both"/>
      </w:pPr>
      <w:r>
        <w:t xml:space="preserve">Prior research suggests that higher income tends to strengthen the partisan divide on many environmental issues, including those associated with regulating pollution, funding renewable energy research, and mitigating climate change (Ballew et al., 2020; Bohr, 2014). However, we did not observe consistent negative reactions to EE programming in students from wealthier Republican contexts. Rather, only students from wealthy Democratic contexts exhibited </w:t>
      </w:r>
      <w:proofErr w:type="gramStart"/>
      <w:r>
        <w:t>less</w:t>
      </w:r>
      <w:proofErr w:type="gramEnd"/>
      <w:r>
        <w:t xml:space="preserve"> positive results. This seems to support hypotheses that early adolescents in mixed and Republican contexts have less strongly entrenched partisan identities that would trigger identity threats to experiences </w:t>
      </w:r>
      <w:r w:rsidRPr="00974DEA">
        <w:t xml:space="preserve">on EE field trips than adults from those same communities (Lawson et al., 2019). Alternatively, it may also signal a general lack of controversial material presented on most of the field trips we observed. Most programs largely steered clear of discussing highly politically-contested environmental issues, such as climate change, or advocating for any particular positions (see </w:t>
      </w:r>
      <w:r>
        <w:t>Powell et al, 2002; Thorpe et al.</w:t>
      </w:r>
      <w:r w:rsidRPr="00974DEA">
        <w:t>, this issue).</w:t>
      </w:r>
    </w:p>
    <w:p w14:paraId="7D212831" w14:textId="77777777" w:rsidR="006E458B" w:rsidRPr="00974DEA" w:rsidRDefault="006E458B" w:rsidP="006E458B">
      <w:pPr>
        <w:ind w:firstLine="720"/>
        <w:jc w:val="both"/>
      </w:pPr>
      <w:r>
        <w:t>A lack of novelty may have played in role as well, g</w:t>
      </w:r>
      <w:r w:rsidRPr="00974DEA">
        <w:t xml:space="preserve">iven the greater potential for wealthy Democrat-leaning youth to already be familiar with pro-environmental messaging and experiences typical of EE programs. These students may also have had higher baseline levels of environmental literacy (as reflected in the EE21 measure) and thus may have experienced a ‘ceiling effect’ (i.e., limited potential for </w:t>
      </w:r>
      <w:r>
        <w:t>change</w:t>
      </w:r>
      <w:r w:rsidRPr="00974DEA">
        <w:t xml:space="preserve"> in a positive direction). The retrospective measure employed in this study was not designed to detect such effects. As noted above, pro-environmental messages may be less commonplace for students from less wealthy contexts. Thus, those from less wealthy communities may have found the programs more novel in this respect. </w:t>
      </w:r>
      <w:r>
        <w:t>Moreover, d</w:t>
      </w:r>
      <w:r w:rsidRPr="00974DEA">
        <w:t xml:space="preserve">espite ample opportunities for unstructured experiences in the outdoors for many students in rural settings, students from poorer </w:t>
      </w:r>
      <w:r>
        <w:t xml:space="preserve">rural </w:t>
      </w:r>
      <w:r w:rsidRPr="00974DEA">
        <w:t>areas commonly have less access to the types of structured out-of-school experiences considered in this study (Chin &amp; Phillips, 2004</w:t>
      </w:r>
      <w:r>
        <w:t>; Hemby et al., forthcoming</w:t>
      </w:r>
      <w:r w:rsidRPr="00974DEA">
        <w:t xml:space="preserve">). Thus, students both from poorer and from Republican sociopolitical contexts may have had greater opportunity for change resulting from EE field experiences. </w:t>
      </w:r>
    </w:p>
    <w:p w14:paraId="7C0FE7B8" w14:textId="77777777" w:rsidR="006E458B" w:rsidRPr="00974DEA" w:rsidRDefault="006E458B" w:rsidP="006E458B">
      <w:pPr>
        <w:jc w:val="both"/>
        <w:rPr>
          <w:rFonts w:eastAsiaTheme="minorEastAsia"/>
        </w:rPr>
      </w:pPr>
      <w:r w:rsidRPr="00974DEA">
        <w:tab/>
      </w:r>
      <w:r w:rsidRPr="00974DEA">
        <w:rPr>
          <w:rFonts w:eastAsiaTheme="minorEastAsia"/>
        </w:rPr>
        <w:t xml:space="preserve">Multiple studies suggest that the novelty of </w:t>
      </w:r>
      <w:r>
        <w:rPr>
          <w:rFonts w:eastAsiaTheme="minorEastAsia"/>
        </w:rPr>
        <w:t>field trip</w:t>
      </w:r>
      <w:r w:rsidRPr="00974DEA">
        <w:rPr>
          <w:rFonts w:eastAsiaTheme="minorEastAsia"/>
        </w:rPr>
        <w:t xml:space="preserve"> program</w:t>
      </w:r>
      <w:r>
        <w:rPr>
          <w:rFonts w:eastAsiaTheme="minorEastAsia"/>
        </w:rPr>
        <w:t>s</w:t>
      </w:r>
      <w:r w:rsidRPr="00974DEA">
        <w:rPr>
          <w:rFonts w:eastAsiaTheme="minorEastAsia"/>
        </w:rPr>
        <w:t xml:space="preserve"> and </w:t>
      </w:r>
      <w:r>
        <w:rPr>
          <w:rFonts w:eastAsiaTheme="minorEastAsia"/>
        </w:rPr>
        <w:t>their</w:t>
      </w:r>
      <w:r w:rsidRPr="00974DEA">
        <w:rPr>
          <w:rFonts w:eastAsiaTheme="minorEastAsia"/>
        </w:rPr>
        <w:t xml:space="preserve"> setting</w:t>
      </w:r>
      <w:r>
        <w:rPr>
          <w:rFonts w:eastAsiaTheme="minorEastAsia"/>
        </w:rPr>
        <w:t>s</w:t>
      </w:r>
      <w:r w:rsidRPr="00974DEA">
        <w:rPr>
          <w:rFonts w:eastAsiaTheme="minorEastAsia"/>
        </w:rPr>
        <w:t xml:space="preserve"> </w:t>
      </w:r>
      <w:r>
        <w:rPr>
          <w:rFonts w:eastAsiaTheme="minorEastAsia"/>
        </w:rPr>
        <w:t>is</w:t>
      </w:r>
      <w:r w:rsidRPr="00974DEA">
        <w:rPr>
          <w:rFonts w:eastAsiaTheme="minorEastAsia"/>
        </w:rPr>
        <w:t xml:space="preserve"> positively associated with enhanced learning outcomes (Dale et al., 2020; </w:t>
      </w:r>
      <w:proofErr w:type="spellStart"/>
      <w:r w:rsidRPr="00974DEA">
        <w:rPr>
          <w:rFonts w:eastAsiaTheme="minorEastAsia"/>
        </w:rPr>
        <w:t>Garst</w:t>
      </w:r>
      <w:proofErr w:type="spellEnd"/>
      <w:r w:rsidRPr="00974DEA">
        <w:rPr>
          <w:rFonts w:eastAsiaTheme="minorEastAsia"/>
        </w:rPr>
        <w:t xml:space="preserve"> et al., 2001; </w:t>
      </w:r>
      <w:proofErr w:type="spellStart"/>
      <w:r w:rsidRPr="00974DEA">
        <w:rPr>
          <w:rFonts w:eastAsiaTheme="minorEastAsia"/>
        </w:rPr>
        <w:t>Kiewra</w:t>
      </w:r>
      <w:proofErr w:type="spellEnd"/>
      <w:r w:rsidRPr="00974DEA">
        <w:rPr>
          <w:rFonts w:eastAsiaTheme="minorEastAsia"/>
        </w:rPr>
        <w:t xml:space="preserve"> et al., 2022). Achieving these gains does not necessarily require access to remote or pristine natural spaces. Educators can make mundane natural settings novel through creative experiences or through illuminating highly novel elements of the setting. For example, even though students might live next to a cypress swamp, wading waist-deep through one may be a highly novel experience for most (Dale et al., 2020). Similarly, a great educator might be able to make a blade of grass or a mowed lawn novel if they lie down on their chests with their students to excitedly explore the intricacies of leaves or the diversity of plants together in a fun way. </w:t>
      </w:r>
    </w:p>
    <w:p w14:paraId="09396ADE" w14:textId="77777777" w:rsidR="006E458B" w:rsidRDefault="006E458B" w:rsidP="006E458B">
      <w:pPr>
        <w:ind w:firstLine="720"/>
        <w:jc w:val="both"/>
        <w:rPr>
          <w:rFonts w:eastAsiaTheme="minorEastAsia"/>
        </w:rPr>
      </w:pPr>
      <w:r w:rsidRPr="00974DEA">
        <w:rPr>
          <w:rFonts w:eastAsiaTheme="minorEastAsia"/>
        </w:rPr>
        <w:t xml:space="preserve">Mundane experiences, alternatively, can make novel settings feel commonplace. In our recent national study (Powell et al., 2022), we observed multiple field trips that felt more like a </w:t>
      </w:r>
      <w:r>
        <w:rPr>
          <w:rFonts w:eastAsiaTheme="minorEastAsia"/>
        </w:rPr>
        <w:t>classroom science experience</w:t>
      </w:r>
      <w:r w:rsidRPr="00974DEA">
        <w:rPr>
          <w:rFonts w:eastAsiaTheme="minorEastAsia"/>
        </w:rPr>
        <w:t xml:space="preserve"> that just happened to take place away from school.</w:t>
      </w:r>
      <w:r>
        <w:rPr>
          <w:rFonts w:eastAsiaTheme="minorEastAsia"/>
        </w:rPr>
        <w:t xml:space="preserve"> For example, a</w:t>
      </w:r>
      <w:r w:rsidRPr="00974DEA">
        <w:rPr>
          <w:rFonts w:eastAsiaTheme="minorEastAsia"/>
        </w:rPr>
        <w:t xml:space="preserve"> program on a mountaintop with expansive views of the </w:t>
      </w:r>
      <w:r>
        <w:rPr>
          <w:rFonts w:eastAsiaTheme="minorEastAsia"/>
        </w:rPr>
        <w:t xml:space="preserve">surrounding </w:t>
      </w:r>
      <w:r w:rsidRPr="00974DEA">
        <w:rPr>
          <w:rFonts w:eastAsiaTheme="minorEastAsia"/>
        </w:rPr>
        <w:t xml:space="preserve">mountains </w:t>
      </w:r>
      <w:r>
        <w:rPr>
          <w:rFonts w:eastAsiaTheme="minorEastAsia"/>
        </w:rPr>
        <w:t xml:space="preserve">and valleys </w:t>
      </w:r>
      <w:r w:rsidRPr="00974DEA">
        <w:rPr>
          <w:rFonts w:eastAsiaTheme="minorEastAsia"/>
        </w:rPr>
        <w:t xml:space="preserve">can feel commonplace if student activities are limited to completing worksheets about </w:t>
      </w:r>
      <w:r>
        <w:rPr>
          <w:rFonts w:eastAsiaTheme="minorEastAsia"/>
        </w:rPr>
        <w:t xml:space="preserve">basic </w:t>
      </w:r>
      <w:r w:rsidRPr="00974DEA">
        <w:rPr>
          <w:rFonts w:eastAsiaTheme="minorEastAsia"/>
        </w:rPr>
        <w:t xml:space="preserve">soil types or insects in a nearby forested area. The same program could feel novel and exciting if students’ attention is directed to experiencing the novel components of the place in a way that is relevant to them (Dale et al., 2020; Powell et al., 2022)– for example, exploring how the land use patterns they can observe from the mountaintop influences their water quality at home. In short, educators who consider what might be novel and relevant to their audiences may be likely to produce greater </w:t>
      </w:r>
      <w:r w:rsidRPr="00974DEA">
        <w:rPr>
          <w:rFonts w:eastAsiaTheme="minorEastAsia"/>
        </w:rPr>
        <w:lastRenderedPageBreak/>
        <w:t>environmental literacy in their students (see Dale et al., 2020; Powell et al., 2022). The present study suggests that programs for students from wealthier Democratic areas, in particular, may be falling short in this respect.</w:t>
      </w:r>
      <w:r>
        <w:rPr>
          <w:rFonts w:eastAsiaTheme="minorEastAsia"/>
        </w:rPr>
        <w:t xml:space="preserve"> </w:t>
      </w:r>
    </w:p>
    <w:bookmarkEnd w:id="32"/>
    <w:p w14:paraId="7AC58536" w14:textId="77777777" w:rsidR="006E458B" w:rsidRDefault="006E458B" w:rsidP="006E458B">
      <w:pPr>
        <w:ind w:firstLine="720"/>
        <w:jc w:val="both"/>
        <w:rPr>
          <w:rFonts w:eastAsiaTheme="minorEastAsia"/>
        </w:rPr>
      </w:pPr>
      <w:r>
        <w:t>Taken together, the results suggest that t</w:t>
      </w:r>
      <w:r w:rsidRPr="00727E00">
        <w:t xml:space="preserve">he present moment </w:t>
      </w:r>
      <w:r>
        <w:t>may represent</w:t>
      </w:r>
      <w:r w:rsidRPr="00727E00">
        <w:t xml:space="preserve"> a unique opportunity for the field of EE to play a role in lessening the political polarization of environmental issues.</w:t>
      </w:r>
      <w:r>
        <w:t xml:space="preserve"> </w:t>
      </w:r>
      <w:r w:rsidRPr="00727E00">
        <w:t>Today’s youth generally hold more pro-environmental views than adults and are seemingly less polarized in their views o</w:t>
      </w:r>
      <w:r>
        <w:t>f</w:t>
      </w:r>
      <w:r w:rsidRPr="00727E00">
        <w:t xml:space="preserve"> environmental issues (Pew Research Center, 2020; Parker et al., 2019; Funk &amp; </w:t>
      </w:r>
      <w:proofErr w:type="spellStart"/>
      <w:r w:rsidRPr="00727E00">
        <w:t>Hefferon</w:t>
      </w:r>
      <w:proofErr w:type="spellEnd"/>
      <w:r w:rsidRPr="00727E00">
        <w:t xml:space="preserve">, 2019). </w:t>
      </w:r>
      <w:r>
        <w:rPr>
          <w:bCs/>
        </w:rPr>
        <w:t xml:space="preserve">Our findings convey additional good news for the field. Audiences for which environmental concerns may be counter-attitudinal, such as students from Republican contexts, did not exhibit </w:t>
      </w:r>
      <w:proofErr w:type="gramStart"/>
      <w:r>
        <w:rPr>
          <w:bCs/>
        </w:rPr>
        <w:t>less</w:t>
      </w:r>
      <w:proofErr w:type="gramEnd"/>
      <w:r>
        <w:rPr>
          <w:bCs/>
        </w:rPr>
        <w:t xml:space="preserve"> positive outcomes following participation in EE programs. </w:t>
      </w:r>
      <w:r>
        <w:t xml:space="preserve">Rather, we found that students from wealthier Democratic contexts demonstrated </w:t>
      </w:r>
      <w:proofErr w:type="gramStart"/>
      <w:r>
        <w:t>less</w:t>
      </w:r>
      <w:proofErr w:type="gramEnd"/>
      <w:r>
        <w:t xml:space="preserve"> positive changes in outcomes; therefore, we recommend that providers continue to be conscious of their audiences, particularly when working with groups from this context, </w:t>
      </w:r>
      <w:r>
        <w:rPr>
          <w:rFonts w:eastAsiaTheme="minorEastAsia"/>
        </w:rPr>
        <w:t xml:space="preserve">as these students may benefit from different, and perhaps more novel, approaches. </w:t>
      </w:r>
    </w:p>
    <w:bookmarkEnd w:id="33"/>
    <w:p w14:paraId="517843D5" w14:textId="77777777" w:rsidR="00A714F8" w:rsidRPr="00801AEF" w:rsidRDefault="00A714F8" w:rsidP="00D14B98">
      <w:pPr>
        <w:ind w:firstLine="720"/>
        <w:rPr>
          <w:rFonts w:eastAsiaTheme="minorEastAsia"/>
        </w:rPr>
      </w:pPr>
    </w:p>
    <w:p w14:paraId="2CB748AB" w14:textId="77777777" w:rsidR="00971043" w:rsidRPr="00727E00" w:rsidRDefault="00971043" w:rsidP="00971043">
      <w:pPr>
        <w:pStyle w:val="Heading2"/>
        <w:spacing w:before="0"/>
        <w:rPr>
          <w:rFonts w:ascii="Times New Roman" w:hAnsi="Times New Roman" w:cs="Times New Roman"/>
          <w:b/>
          <w:bCs/>
          <w:color w:val="auto"/>
          <w:sz w:val="24"/>
          <w:szCs w:val="24"/>
        </w:rPr>
      </w:pPr>
      <w:bookmarkStart w:id="34" w:name="_Toc101646960"/>
      <w:bookmarkStart w:id="35" w:name="_Hlk125631070"/>
      <w:r w:rsidRPr="00727E00">
        <w:rPr>
          <w:rFonts w:ascii="Times New Roman" w:hAnsi="Times New Roman" w:cs="Times New Roman"/>
          <w:b/>
          <w:bCs/>
          <w:color w:val="auto"/>
          <w:sz w:val="24"/>
          <w:szCs w:val="24"/>
        </w:rPr>
        <w:t xml:space="preserve">Limitations </w:t>
      </w:r>
      <w:bookmarkEnd w:id="34"/>
    </w:p>
    <w:p w14:paraId="0E6BA436" w14:textId="13602519" w:rsidR="00971043" w:rsidRPr="00727E00" w:rsidRDefault="00971043" w:rsidP="00971043">
      <w:pPr>
        <w:pStyle w:val="CommentText"/>
        <w:ind w:firstLine="720"/>
        <w:jc w:val="both"/>
        <w:rPr>
          <w:bCs/>
          <w:sz w:val="24"/>
          <w:szCs w:val="24"/>
        </w:rPr>
      </w:pPr>
      <w:r>
        <w:rPr>
          <w:bCs/>
          <w:sz w:val="24"/>
          <w:szCs w:val="24"/>
        </w:rPr>
        <w:t xml:space="preserve">Limitations of </w:t>
      </w:r>
      <w:r w:rsidR="00241E8E">
        <w:rPr>
          <w:bCs/>
          <w:sz w:val="24"/>
          <w:szCs w:val="24"/>
        </w:rPr>
        <w:t>the</w:t>
      </w:r>
      <w:r>
        <w:rPr>
          <w:bCs/>
          <w:sz w:val="24"/>
          <w:szCs w:val="24"/>
        </w:rPr>
        <w:t xml:space="preserve"> study are primarily attributable to small subsamples that were not statistically representative of the entire U.S. Future research could aim to conduct larger and more representative samples of each sociopolitical context</w:t>
      </w:r>
      <w:r w:rsidR="00526776">
        <w:rPr>
          <w:bCs/>
          <w:sz w:val="24"/>
          <w:szCs w:val="24"/>
        </w:rPr>
        <w:t xml:space="preserve"> or focus in on specific communities for more locally-specific explorations</w:t>
      </w:r>
      <w:r>
        <w:rPr>
          <w:bCs/>
          <w:sz w:val="24"/>
          <w:szCs w:val="24"/>
        </w:rPr>
        <w:t xml:space="preserve">. </w:t>
      </w:r>
      <w:r w:rsidR="00541E8C">
        <w:rPr>
          <w:bCs/>
          <w:sz w:val="24"/>
          <w:szCs w:val="24"/>
        </w:rPr>
        <w:t xml:space="preserve">Moreover, these summary findings do not </w:t>
      </w:r>
      <w:r w:rsidR="002073A1">
        <w:rPr>
          <w:bCs/>
          <w:sz w:val="24"/>
          <w:szCs w:val="24"/>
        </w:rPr>
        <w:t xml:space="preserve">account for the </w:t>
      </w:r>
      <w:r w:rsidR="00E32258">
        <w:rPr>
          <w:bCs/>
          <w:sz w:val="24"/>
          <w:szCs w:val="24"/>
        </w:rPr>
        <w:t xml:space="preserve">influence of </w:t>
      </w:r>
      <w:r w:rsidR="00541E8C">
        <w:rPr>
          <w:bCs/>
          <w:sz w:val="24"/>
          <w:szCs w:val="24"/>
        </w:rPr>
        <w:t xml:space="preserve">the </w:t>
      </w:r>
      <w:r w:rsidR="00E05B84">
        <w:rPr>
          <w:bCs/>
          <w:sz w:val="24"/>
          <w:szCs w:val="24"/>
        </w:rPr>
        <w:t xml:space="preserve">specific content or pedagogies of </w:t>
      </w:r>
      <w:r w:rsidR="00541E8C">
        <w:rPr>
          <w:bCs/>
          <w:sz w:val="24"/>
          <w:szCs w:val="24"/>
        </w:rPr>
        <w:t>programs themselves. For more on this, please see the companion article in this issue</w:t>
      </w:r>
      <w:r w:rsidR="00E32258">
        <w:rPr>
          <w:bCs/>
          <w:sz w:val="24"/>
          <w:szCs w:val="24"/>
        </w:rPr>
        <w:t xml:space="preserve">, which explores </w:t>
      </w:r>
      <w:r w:rsidR="002073A1">
        <w:rPr>
          <w:bCs/>
          <w:sz w:val="24"/>
          <w:szCs w:val="24"/>
        </w:rPr>
        <w:t xml:space="preserve">the influence of </w:t>
      </w:r>
      <w:r w:rsidR="00E32258">
        <w:rPr>
          <w:bCs/>
          <w:sz w:val="24"/>
          <w:szCs w:val="24"/>
        </w:rPr>
        <w:t>different pedagogical approaches</w:t>
      </w:r>
      <w:r w:rsidR="002073A1">
        <w:rPr>
          <w:bCs/>
          <w:sz w:val="24"/>
          <w:szCs w:val="24"/>
        </w:rPr>
        <w:t xml:space="preserve"> in different political contexts</w:t>
      </w:r>
      <w:r w:rsidR="00541E8C">
        <w:rPr>
          <w:bCs/>
          <w:sz w:val="24"/>
          <w:szCs w:val="24"/>
        </w:rPr>
        <w:t xml:space="preserve"> (Thorpe et al., </w:t>
      </w:r>
      <w:r w:rsidR="00D86E91">
        <w:rPr>
          <w:bCs/>
          <w:sz w:val="24"/>
          <w:szCs w:val="24"/>
        </w:rPr>
        <w:t>this issue</w:t>
      </w:r>
      <w:r w:rsidR="00541E8C">
        <w:rPr>
          <w:bCs/>
          <w:sz w:val="24"/>
          <w:szCs w:val="24"/>
        </w:rPr>
        <w:t xml:space="preserve">). </w:t>
      </w:r>
    </w:p>
    <w:bookmarkEnd w:id="35"/>
    <w:p w14:paraId="0DF62E6E" w14:textId="457C03D7" w:rsidR="00345181" w:rsidRDefault="00345181" w:rsidP="00345181">
      <w:pPr>
        <w:jc w:val="both"/>
        <w:rPr>
          <w:bCs/>
          <w:sz w:val="22"/>
          <w:szCs w:val="22"/>
        </w:rPr>
      </w:pPr>
    </w:p>
    <w:p w14:paraId="41AC3BE7" w14:textId="038EA194" w:rsidR="00270CC3" w:rsidRPr="00270CC3" w:rsidRDefault="00270CC3" w:rsidP="00270CC3">
      <w:pPr>
        <w:jc w:val="center"/>
        <w:rPr>
          <w:b/>
          <w:bCs/>
          <w:szCs w:val="22"/>
        </w:rPr>
      </w:pPr>
      <w:bookmarkStart w:id="36" w:name="_Hlk125631267"/>
      <w:r w:rsidRPr="00270CC3">
        <w:rPr>
          <w:b/>
          <w:bCs/>
          <w:szCs w:val="22"/>
        </w:rPr>
        <w:t>Acknowledgements</w:t>
      </w:r>
    </w:p>
    <w:p w14:paraId="42600338" w14:textId="2AB67C2D" w:rsidR="00270CC3" w:rsidRPr="007458D1" w:rsidRDefault="00270CC3" w:rsidP="007458D1">
      <w:pPr>
        <w:pStyle w:val="NormalWeb"/>
        <w:shd w:val="clear" w:color="auto" w:fill="FFFFFF"/>
        <w:rPr>
          <w:color w:val="222222"/>
        </w:rPr>
      </w:pPr>
      <w:r w:rsidRPr="00270CC3">
        <w:rPr>
          <w:rFonts w:eastAsiaTheme="minorHAnsi"/>
        </w:rPr>
        <w:t xml:space="preserve">The authors thank Ryan Dale, Kaitlyn Hogarth, Tori </w:t>
      </w:r>
      <w:proofErr w:type="spellStart"/>
      <w:r w:rsidRPr="00270CC3">
        <w:rPr>
          <w:rFonts w:eastAsiaTheme="minorHAnsi"/>
        </w:rPr>
        <w:t>Kleinbort</w:t>
      </w:r>
      <w:proofErr w:type="spellEnd"/>
      <w:r w:rsidRPr="00270CC3">
        <w:rPr>
          <w:rFonts w:eastAsiaTheme="minorHAnsi"/>
        </w:rPr>
        <w:t xml:space="preserve">, Hannah Lee, Eric Neff, Anna O’Hare, Daniel </w:t>
      </w:r>
      <w:proofErr w:type="spellStart"/>
      <w:r w:rsidRPr="00270CC3">
        <w:rPr>
          <w:rFonts w:eastAsiaTheme="minorHAnsi"/>
        </w:rPr>
        <w:t>Pratson</w:t>
      </w:r>
      <w:proofErr w:type="spellEnd"/>
      <w:r w:rsidRPr="00270CC3">
        <w:rPr>
          <w:rFonts w:eastAsiaTheme="minorHAnsi"/>
        </w:rPr>
        <w:t>,</w:t>
      </w:r>
      <w:r>
        <w:rPr>
          <w:rFonts w:eastAsiaTheme="minorHAnsi"/>
        </w:rPr>
        <w:t xml:space="preserve"> </w:t>
      </w:r>
      <w:r w:rsidRPr="00270CC3">
        <w:rPr>
          <w:rFonts w:eastAsiaTheme="minorHAnsi"/>
        </w:rPr>
        <w:t>and Neil Savage, who collected the field data for this project, and the 90 organizations around the United States</w:t>
      </w:r>
      <w:r>
        <w:rPr>
          <w:rFonts w:eastAsiaTheme="minorHAnsi"/>
        </w:rPr>
        <w:t xml:space="preserve"> </w:t>
      </w:r>
      <w:r w:rsidRPr="00270CC3">
        <w:rPr>
          <w:rFonts w:eastAsiaTheme="minorHAnsi"/>
        </w:rPr>
        <w:t xml:space="preserve">who </w:t>
      </w:r>
      <w:r w:rsidRPr="00227FA7">
        <w:rPr>
          <w:rFonts w:eastAsiaTheme="minorHAnsi"/>
        </w:rPr>
        <w:t xml:space="preserve">welcomed their presence. </w:t>
      </w:r>
      <w:r w:rsidR="00227FA7">
        <w:rPr>
          <w:rFonts w:eastAsiaTheme="minorHAnsi"/>
        </w:rPr>
        <w:t xml:space="preserve">We’d also like to thank Dr. Shannon Bell and Dr. Karin Kitchens for their comments and input on the study. </w:t>
      </w:r>
      <w:r w:rsidRPr="00227FA7">
        <w:rPr>
          <w:rFonts w:ascii="TimesNewRomanRegular" w:eastAsiaTheme="minorHAnsi" w:hAnsi="TimesNewRomanRegular" w:cs="TimesNewRomanRegular"/>
        </w:rPr>
        <w:t>The study was funded by the National Science Foundation’s Advancing Informal STEM Education program (</w:t>
      </w:r>
      <w:r w:rsidRPr="009552A3">
        <w:rPr>
          <w:rFonts w:eastAsiaTheme="minorHAnsi"/>
        </w:rPr>
        <w:t>DRL 1612416 and DRL 1906610) and the Institute for Museum and Library Services National Leadership Grant (MG-10-16-0057-16)</w:t>
      </w:r>
      <w:r w:rsidR="009552A3" w:rsidRPr="009552A3">
        <w:rPr>
          <w:rFonts w:eastAsiaTheme="minorHAnsi"/>
        </w:rPr>
        <w:t xml:space="preserve"> and analysis was supported in part by </w:t>
      </w:r>
      <w:r w:rsidR="009552A3" w:rsidRPr="009552A3">
        <w:t>the USDA National Institute of Food and Agriculture, McIntire-Stennis project 7001451. </w:t>
      </w:r>
    </w:p>
    <w:p w14:paraId="38238EF5" w14:textId="1E29EAE7" w:rsidR="00270CC3" w:rsidRPr="00270CC3" w:rsidRDefault="00270CC3" w:rsidP="00345181">
      <w:pPr>
        <w:jc w:val="both"/>
        <w:rPr>
          <w:bCs/>
          <w:szCs w:val="22"/>
        </w:rPr>
      </w:pPr>
    </w:p>
    <w:p w14:paraId="20509C92" w14:textId="77777777" w:rsidR="00227FA7" w:rsidRPr="00EE2642" w:rsidRDefault="00227FA7" w:rsidP="00227FA7">
      <w:pPr>
        <w:pStyle w:val="Heading2"/>
        <w:spacing w:before="0"/>
        <w:jc w:val="center"/>
        <w:rPr>
          <w:rFonts w:ascii="Times New Roman" w:hAnsi="Times New Roman" w:cs="Times New Roman"/>
          <w:b/>
          <w:bCs/>
          <w:color w:val="auto"/>
          <w:sz w:val="24"/>
          <w:szCs w:val="24"/>
        </w:rPr>
      </w:pPr>
      <w:bookmarkStart w:id="37" w:name="_Toc101646961"/>
      <w:bookmarkStart w:id="38" w:name="_Hlk125631295"/>
      <w:bookmarkEnd w:id="36"/>
      <w:r w:rsidRPr="00EE2642">
        <w:rPr>
          <w:rFonts w:ascii="Times New Roman" w:hAnsi="Times New Roman" w:cs="Times New Roman"/>
          <w:b/>
          <w:bCs/>
          <w:color w:val="auto"/>
          <w:sz w:val="24"/>
          <w:szCs w:val="24"/>
        </w:rPr>
        <w:t>References</w:t>
      </w:r>
      <w:bookmarkEnd w:id="37"/>
    </w:p>
    <w:bookmarkEnd w:id="38"/>
    <w:p w14:paraId="4F934D41" w14:textId="77777777" w:rsidR="00227FA7" w:rsidRPr="00B93FB5" w:rsidRDefault="00227FA7" w:rsidP="00227FA7">
      <w:pPr>
        <w:ind w:left="720" w:hanging="720"/>
      </w:pPr>
      <w:r w:rsidRPr="00B93FB5">
        <w:t xml:space="preserve">Abramowitz, A. I. (2010). Transformation and polarization: The 2008 presidential election and the new American electorate. </w:t>
      </w:r>
      <w:r w:rsidRPr="00B93FB5">
        <w:rPr>
          <w:i/>
          <w:iCs/>
        </w:rPr>
        <w:t>Electoral Studies, 29</w:t>
      </w:r>
      <w:r w:rsidRPr="00B93FB5">
        <w:t xml:space="preserve">(4), 594–603. </w:t>
      </w:r>
      <w:r>
        <w:t xml:space="preserve">DOI: </w:t>
      </w:r>
      <w:r w:rsidRPr="00B93FB5">
        <w:t>https://doi.org/10.1016/j.electstud.2010.04.006.</w:t>
      </w:r>
    </w:p>
    <w:p w14:paraId="610783A3" w14:textId="77777777" w:rsidR="00227FA7" w:rsidRPr="00B93FB5" w:rsidRDefault="00227FA7" w:rsidP="00227FA7">
      <w:pPr>
        <w:ind w:left="720" w:hanging="720"/>
      </w:pPr>
      <w:r w:rsidRPr="00B93FB5">
        <w:t xml:space="preserve">Abramowitz, A.I. &amp; Saunders, K.L. (2006). Exploring the bases of partisanship in the American electorate: Social identity vs. ideology. </w:t>
      </w:r>
      <w:r w:rsidRPr="00B93FB5">
        <w:rPr>
          <w:i/>
          <w:iCs/>
        </w:rPr>
        <w:t>Political Research Quarterly, 59</w:t>
      </w:r>
      <w:r w:rsidRPr="00B93FB5">
        <w:t xml:space="preserve">(2), 175-187. http://journals.sagepub.com/doi/10.1177/106591290605900201. </w:t>
      </w:r>
    </w:p>
    <w:p w14:paraId="7851F9ED" w14:textId="77777777" w:rsidR="00227FA7" w:rsidRPr="00B93FB5" w:rsidRDefault="00227FA7" w:rsidP="00227FA7">
      <w:pPr>
        <w:ind w:left="720" w:hanging="720"/>
      </w:pPr>
      <w:r w:rsidRPr="00B93FB5">
        <w:t>Ambrosius, J.D. (201</w:t>
      </w:r>
      <w:r>
        <w:t>6</w:t>
      </w:r>
      <w:r w:rsidRPr="00B93FB5">
        <w:t xml:space="preserve">). Blue city…red city? A comparison of competing theories of core county outcomes in U.S. presidential elections, 2000-2012. </w:t>
      </w:r>
      <w:r w:rsidRPr="00B93FB5">
        <w:rPr>
          <w:i/>
          <w:iCs/>
        </w:rPr>
        <w:t>Journal of Urban Affairs, 38</w:t>
      </w:r>
      <w:r w:rsidRPr="00B93FB5">
        <w:t>(2), 169-195. DOI: 10.1111/juaf.12184.</w:t>
      </w:r>
    </w:p>
    <w:p w14:paraId="7BEDE0A5" w14:textId="77777777" w:rsidR="00227FA7" w:rsidRPr="00B93FB5" w:rsidRDefault="00227FA7" w:rsidP="00227FA7">
      <w:pPr>
        <w:ind w:left="720" w:hanging="720"/>
      </w:pPr>
      <w:r w:rsidRPr="00B93FB5">
        <w:lastRenderedPageBreak/>
        <w:t xml:space="preserve">Amos, B., McDonald, M.P., &amp; Watkins, R. (2017). When boundaries collide constructing a national database of demographic and voting statistics. </w:t>
      </w:r>
      <w:r w:rsidRPr="00B93FB5">
        <w:rPr>
          <w:i/>
          <w:iCs/>
        </w:rPr>
        <w:t>Public Opinion Quarterly, 81</w:t>
      </w:r>
      <w:r w:rsidRPr="00B93FB5">
        <w:t>(special issue), 385-400. doi:10.1093/</w:t>
      </w:r>
      <w:proofErr w:type="spellStart"/>
      <w:r w:rsidRPr="00B93FB5">
        <w:t>poq</w:t>
      </w:r>
      <w:proofErr w:type="spellEnd"/>
      <w:r w:rsidRPr="00B93FB5">
        <w:t>/nfx001.</w:t>
      </w:r>
    </w:p>
    <w:p w14:paraId="6FD01B57" w14:textId="77777777" w:rsidR="00227FA7" w:rsidRPr="00871453" w:rsidRDefault="00227FA7" w:rsidP="00227FA7">
      <w:pPr>
        <w:autoSpaceDE w:val="0"/>
        <w:autoSpaceDN w:val="0"/>
        <w:adjustRightInd w:val="0"/>
        <w:ind w:left="720" w:hanging="720"/>
        <w:rPr>
          <w:i/>
          <w:iCs/>
        </w:rPr>
      </w:pPr>
      <w:r w:rsidRPr="00B93FB5">
        <w:t>Associated Press-NORC Center for Public Affairs Research (AP-NORC</w:t>
      </w:r>
      <w:r w:rsidRPr="001834EE">
        <w:rPr>
          <w:iCs/>
        </w:rPr>
        <w:t>)</w:t>
      </w:r>
      <w:r>
        <w:rPr>
          <w:iCs/>
        </w:rPr>
        <w:t xml:space="preserve"> (2015)</w:t>
      </w:r>
      <w:r w:rsidRPr="00B93FB5">
        <w:rPr>
          <w:i/>
          <w:iCs/>
        </w:rPr>
        <w:t>. Public opinion and the environment: The nine types of Americans</w:t>
      </w:r>
      <w:r w:rsidRPr="00B93FB5">
        <w:t xml:space="preserve">. </w:t>
      </w:r>
      <w:r w:rsidRPr="00871453">
        <w:t>AP-NORC: Chicago, IL, USA.</w:t>
      </w:r>
    </w:p>
    <w:p w14:paraId="1DB5CD1F" w14:textId="77777777" w:rsidR="00227FA7" w:rsidRPr="00B93FB5" w:rsidRDefault="00227FA7" w:rsidP="00227FA7">
      <w:pPr>
        <w:ind w:left="720" w:hanging="720"/>
      </w:pPr>
      <w:r w:rsidRPr="00B93FB5">
        <w:t xml:space="preserve">Barber, M. &amp; Pope, J.C. (2019). Does party trump ideology? Disentangling party and ideology in America. </w:t>
      </w:r>
      <w:r w:rsidRPr="00B93FB5">
        <w:rPr>
          <w:i/>
          <w:iCs/>
        </w:rPr>
        <w:t>American Political Science Review, 113</w:t>
      </w:r>
      <w:r w:rsidRPr="00B93FB5">
        <w:t>(1), 38-54. doi:10.1017/S0003055418000795.</w:t>
      </w:r>
    </w:p>
    <w:p w14:paraId="24169C28" w14:textId="77777777" w:rsidR="00CD57F4" w:rsidRPr="00CD57F4" w:rsidRDefault="00CD57F4" w:rsidP="00227FA7">
      <w:pPr>
        <w:ind w:left="720" w:hanging="720"/>
        <w:rPr>
          <w:shd w:val="clear" w:color="auto" w:fill="FFFFFF"/>
        </w:rPr>
      </w:pPr>
      <w:r w:rsidRPr="00CD57F4">
        <w:rPr>
          <w:shd w:val="clear" w:color="auto" w:fill="FFFFFF"/>
        </w:rPr>
        <w:t>Ballew, M. T., Pearson, A. R., Goldberg, M. H., Rosenthal, S. A., &amp; Leiserowitz, A. (2020). Does socioeconomic status moderate the political divide on climate change? The roles of education, income, and individualism. </w:t>
      </w:r>
      <w:r w:rsidRPr="00CD57F4">
        <w:rPr>
          <w:i/>
          <w:iCs/>
          <w:shd w:val="clear" w:color="auto" w:fill="FFFFFF"/>
        </w:rPr>
        <w:t>Global Environmental Change</w:t>
      </w:r>
      <w:r w:rsidRPr="00CD57F4">
        <w:rPr>
          <w:shd w:val="clear" w:color="auto" w:fill="FFFFFF"/>
        </w:rPr>
        <w:t>, </w:t>
      </w:r>
      <w:r w:rsidRPr="00CD57F4">
        <w:rPr>
          <w:i/>
          <w:iCs/>
          <w:shd w:val="clear" w:color="auto" w:fill="FFFFFF"/>
        </w:rPr>
        <w:t>60</w:t>
      </w:r>
      <w:r w:rsidRPr="00CD57F4">
        <w:rPr>
          <w:shd w:val="clear" w:color="auto" w:fill="FFFFFF"/>
        </w:rPr>
        <w:t>, 102024.</w:t>
      </w:r>
    </w:p>
    <w:p w14:paraId="628AE31E" w14:textId="4116D5D8" w:rsidR="00227FA7" w:rsidRPr="00B93FB5" w:rsidRDefault="00227FA7" w:rsidP="00227FA7">
      <w:pPr>
        <w:ind w:left="720" w:hanging="720"/>
      </w:pPr>
      <w:r w:rsidRPr="00CD57F4">
        <w:t xml:space="preserve">Bauman, K. &amp; Cranney, S. (2020). School enrollment in the United States: 2018. Population Characteristics. Current Population Reports. P20-584.  US Department </w:t>
      </w:r>
      <w:r w:rsidRPr="00B93FB5">
        <w:t>of Commerce. US Census Bureau.</w:t>
      </w:r>
    </w:p>
    <w:p w14:paraId="0537F355" w14:textId="77777777" w:rsidR="00227FA7" w:rsidRPr="00B93FB5" w:rsidRDefault="00227FA7" w:rsidP="00227FA7">
      <w:pPr>
        <w:ind w:left="720" w:hanging="720"/>
      </w:pPr>
      <w:r w:rsidRPr="00B93FB5">
        <w:t xml:space="preserve">Bishop, B. (2008). </w:t>
      </w:r>
      <w:r w:rsidRPr="00B93FB5">
        <w:rPr>
          <w:i/>
          <w:iCs/>
        </w:rPr>
        <w:t>The big sort: Why the clustering of like-minded America is tearing us apart.</w:t>
      </w:r>
      <w:r w:rsidRPr="00B93FB5">
        <w:t xml:space="preserve"> Mariner Books. </w:t>
      </w:r>
    </w:p>
    <w:p w14:paraId="7E48FB01" w14:textId="77777777" w:rsidR="00CD57F4" w:rsidRPr="00CD57F4" w:rsidRDefault="00CD57F4" w:rsidP="00227FA7">
      <w:pPr>
        <w:ind w:left="720" w:hanging="720"/>
        <w:rPr>
          <w:shd w:val="clear" w:color="auto" w:fill="FFFFFF"/>
        </w:rPr>
      </w:pPr>
      <w:r w:rsidRPr="00CD57F4">
        <w:rPr>
          <w:shd w:val="clear" w:color="auto" w:fill="FFFFFF"/>
        </w:rPr>
        <w:t>Bohr, J. (2014). Public views on the dangers and importance of climate change: Predicting climate change beliefs in the United States through income moderated by party identification. </w:t>
      </w:r>
      <w:r w:rsidRPr="00CD57F4">
        <w:rPr>
          <w:i/>
          <w:iCs/>
          <w:shd w:val="clear" w:color="auto" w:fill="FFFFFF"/>
        </w:rPr>
        <w:t>Climatic Change</w:t>
      </w:r>
      <w:r w:rsidRPr="00CD57F4">
        <w:rPr>
          <w:shd w:val="clear" w:color="auto" w:fill="FFFFFF"/>
        </w:rPr>
        <w:t>, </w:t>
      </w:r>
      <w:r w:rsidRPr="00CD57F4">
        <w:rPr>
          <w:i/>
          <w:iCs/>
          <w:shd w:val="clear" w:color="auto" w:fill="FFFFFF"/>
        </w:rPr>
        <w:t>126</w:t>
      </w:r>
      <w:r w:rsidRPr="00CD57F4">
        <w:rPr>
          <w:shd w:val="clear" w:color="auto" w:fill="FFFFFF"/>
        </w:rPr>
        <w:t>(1-2), 217-227.</w:t>
      </w:r>
    </w:p>
    <w:p w14:paraId="4E7EB9E7" w14:textId="6C51196A" w:rsidR="00227FA7" w:rsidRPr="00B93FB5" w:rsidRDefault="00227FA7" w:rsidP="00227FA7">
      <w:pPr>
        <w:ind w:left="720" w:hanging="720"/>
      </w:pPr>
      <w:r w:rsidRPr="00CD57F4">
        <w:t>Bureau of the Census. (1994). Voting Districts</w:t>
      </w:r>
      <w:r w:rsidRPr="00B93FB5">
        <w:t xml:space="preserve">. In </w:t>
      </w:r>
      <w:proofErr w:type="spellStart"/>
      <w:r w:rsidRPr="00B93FB5">
        <w:t>Torrieri</w:t>
      </w:r>
      <w:proofErr w:type="spellEnd"/>
      <w:r w:rsidRPr="00B93FB5">
        <w:t xml:space="preserve">, N.K. (Ed.) </w:t>
      </w:r>
      <w:r w:rsidRPr="00B93FB5">
        <w:rPr>
          <w:i/>
          <w:iCs/>
        </w:rPr>
        <w:t>Geographic Areas Reference Manual</w:t>
      </w:r>
      <w:r w:rsidRPr="00B93FB5">
        <w:t xml:space="preserve">. (pp. 14-1 – 14-18). U.S. Department of Commerce.  </w:t>
      </w:r>
    </w:p>
    <w:p w14:paraId="6EAEAB55" w14:textId="77777777" w:rsidR="00227FA7" w:rsidRPr="00B93FB5" w:rsidRDefault="00227FA7" w:rsidP="00227FA7">
      <w:pPr>
        <w:ind w:left="720" w:hanging="720"/>
      </w:pPr>
      <w:r w:rsidRPr="00B93FB5">
        <w:t xml:space="preserve">Campbell, A., Converse, P.E., Miller, W.E., &amp; Stokes, D.E. (1960). </w:t>
      </w:r>
      <w:r w:rsidRPr="00B93FB5">
        <w:rPr>
          <w:i/>
          <w:iCs/>
        </w:rPr>
        <w:t>The American Voter</w:t>
      </w:r>
      <w:r w:rsidRPr="00B93FB5">
        <w:t xml:space="preserve">. Wiley. </w:t>
      </w:r>
    </w:p>
    <w:p w14:paraId="2FBDAA03" w14:textId="3FC25D41" w:rsidR="00C51EA6" w:rsidRDefault="00C51EA6" w:rsidP="00C51EA6">
      <w:pPr>
        <w:ind w:left="720" w:hanging="720"/>
        <w:rPr>
          <w:color w:val="222222"/>
          <w:shd w:val="clear" w:color="auto" w:fill="FFFFFF"/>
        </w:rPr>
      </w:pPr>
      <w:r>
        <w:rPr>
          <w:color w:val="222222"/>
          <w:shd w:val="clear" w:color="auto" w:fill="FFFFFF"/>
        </w:rPr>
        <w:t>Chin, T., &amp; Phillips, M. (2004). Social reproduction and child-rearing practices: Social class, children's agency, and the summer activity gap. </w:t>
      </w:r>
      <w:r>
        <w:rPr>
          <w:i/>
          <w:iCs/>
          <w:color w:val="222222"/>
          <w:shd w:val="clear" w:color="auto" w:fill="FFFFFF"/>
        </w:rPr>
        <w:t>Sociology of Education</w:t>
      </w:r>
      <w:r>
        <w:rPr>
          <w:color w:val="222222"/>
          <w:shd w:val="clear" w:color="auto" w:fill="FFFFFF"/>
        </w:rPr>
        <w:t>, </w:t>
      </w:r>
      <w:r>
        <w:rPr>
          <w:i/>
          <w:iCs/>
          <w:color w:val="222222"/>
          <w:shd w:val="clear" w:color="auto" w:fill="FFFFFF"/>
        </w:rPr>
        <w:t>77</w:t>
      </w:r>
      <w:r>
        <w:rPr>
          <w:color w:val="222222"/>
          <w:shd w:val="clear" w:color="auto" w:fill="FFFFFF"/>
        </w:rPr>
        <w:t>(3), 185-210.</w:t>
      </w:r>
    </w:p>
    <w:p w14:paraId="3DEFC29B" w14:textId="77777777" w:rsidR="00227FA7" w:rsidRPr="00B93FB5" w:rsidRDefault="00227FA7" w:rsidP="00227FA7">
      <w:pPr>
        <w:ind w:left="720" w:hanging="720"/>
      </w:pPr>
      <w:r w:rsidRPr="00B93FB5">
        <w:t xml:space="preserve">Cohen, G.L. (2003). Party over policy: The dominating impact of group influence on political beliefs. Journal of </w:t>
      </w:r>
      <w:r w:rsidRPr="00B93FB5">
        <w:rPr>
          <w:i/>
          <w:iCs/>
        </w:rPr>
        <w:t>Personality and Social Psychology, 85</w:t>
      </w:r>
      <w:r w:rsidRPr="00B93FB5">
        <w:t xml:space="preserve">(5), 808-822. http://doi.apa.org/getdoi.cfm?doi=10.1037/0022-3514.85.5.808. </w:t>
      </w:r>
    </w:p>
    <w:p w14:paraId="32098F59" w14:textId="77777777" w:rsidR="00227FA7" w:rsidRPr="00B93FB5" w:rsidRDefault="00227FA7" w:rsidP="00227FA7">
      <w:pPr>
        <w:ind w:left="720" w:hanging="720"/>
      </w:pPr>
      <w:r w:rsidRPr="00B93FB5">
        <w:t xml:space="preserve">Connell, R.W. (1971). </w:t>
      </w:r>
      <w:r w:rsidRPr="00B93FB5">
        <w:rPr>
          <w:i/>
          <w:iCs/>
        </w:rPr>
        <w:t>The child’s construction of politics</w:t>
      </w:r>
      <w:r w:rsidRPr="00B93FB5">
        <w:t>. Melbourne University Press.</w:t>
      </w:r>
    </w:p>
    <w:p w14:paraId="33CD1769" w14:textId="77777777" w:rsidR="00227FA7" w:rsidRPr="00B93FB5" w:rsidRDefault="00227FA7" w:rsidP="00227FA7">
      <w:pPr>
        <w:ind w:left="720" w:hanging="720"/>
      </w:pPr>
      <w:r w:rsidRPr="00B93FB5">
        <w:t xml:space="preserve">Dale, R.G., Powell, R.B., Stern, M.J., &amp; </w:t>
      </w:r>
      <w:proofErr w:type="spellStart"/>
      <w:r w:rsidRPr="00B93FB5">
        <w:t>Garst</w:t>
      </w:r>
      <w:proofErr w:type="spellEnd"/>
      <w:r w:rsidRPr="00B93FB5">
        <w:t xml:space="preserve">, B.A. (2020). Influence of the natural setting on environmental education outcomes. </w:t>
      </w:r>
      <w:r w:rsidRPr="00B93FB5">
        <w:rPr>
          <w:i/>
          <w:iCs/>
        </w:rPr>
        <w:t>Environmental Education Research.</w:t>
      </w:r>
      <w:r w:rsidRPr="00B93FB5">
        <w:t xml:space="preserve"> DOI: 10.1080/13504622.2020.1738346. </w:t>
      </w:r>
    </w:p>
    <w:p w14:paraId="5E07D4F5" w14:textId="77777777" w:rsidR="00227FA7" w:rsidRPr="00B93FB5" w:rsidRDefault="00227FA7" w:rsidP="00227FA7">
      <w:pPr>
        <w:ind w:left="720" w:hanging="720"/>
      </w:pPr>
      <w:r w:rsidRPr="00B93FB5">
        <w:t xml:space="preserve">Dunlap, R.E., Xiao, C., &amp; </w:t>
      </w:r>
      <w:proofErr w:type="spellStart"/>
      <w:r w:rsidRPr="00B93FB5">
        <w:t>McCright</w:t>
      </w:r>
      <w:proofErr w:type="spellEnd"/>
      <w:r w:rsidRPr="00B93FB5">
        <w:t xml:space="preserve">, A.M. (2001). Politics and environment in America: Partisan and ideological cleavages in public support for environmentalism. </w:t>
      </w:r>
      <w:r w:rsidRPr="00B93FB5">
        <w:rPr>
          <w:i/>
          <w:iCs/>
        </w:rPr>
        <w:t>Environmental Politics, 10</w:t>
      </w:r>
      <w:r w:rsidRPr="00B93FB5">
        <w:t xml:space="preserve">(4), 23-48. https://doi.org/10.1080/714000580. </w:t>
      </w:r>
    </w:p>
    <w:p w14:paraId="6D81B596" w14:textId="77777777" w:rsidR="00227FA7" w:rsidRPr="00B93FB5" w:rsidRDefault="00227FA7" w:rsidP="00227FA7">
      <w:pPr>
        <w:ind w:left="720" w:hanging="720"/>
      </w:pPr>
      <w:r w:rsidRPr="00B93FB5">
        <w:t xml:space="preserve">Dunlap, R.E., </w:t>
      </w:r>
      <w:proofErr w:type="spellStart"/>
      <w:r w:rsidRPr="00B93FB5">
        <w:t>McCright</w:t>
      </w:r>
      <w:proofErr w:type="spellEnd"/>
      <w:r w:rsidRPr="00B93FB5">
        <w:t xml:space="preserve">, A.M., </w:t>
      </w:r>
      <w:proofErr w:type="spellStart"/>
      <w:r w:rsidRPr="00B93FB5">
        <w:t>Yarosh</w:t>
      </w:r>
      <w:proofErr w:type="spellEnd"/>
      <w:r w:rsidRPr="00B93FB5">
        <w:t xml:space="preserve">, J.H. (2016). The political divide on climate change: Partisan polarization widens in the U.S. </w:t>
      </w:r>
      <w:r w:rsidRPr="00B93FB5">
        <w:rPr>
          <w:i/>
          <w:iCs/>
        </w:rPr>
        <w:t>Environment 58</w:t>
      </w:r>
      <w:r w:rsidRPr="00B93FB5">
        <w:t>(5), 4-23.</w:t>
      </w:r>
    </w:p>
    <w:p w14:paraId="65D831C5" w14:textId="77777777" w:rsidR="00EB2D9C" w:rsidRPr="00EB2D9C" w:rsidRDefault="00EB2D9C" w:rsidP="00227FA7">
      <w:pPr>
        <w:ind w:left="720" w:hanging="720"/>
        <w:rPr>
          <w:color w:val="222222"/>
          <w:shd w:val="clear" w:color="auto" w:fill="FFFFFF"/>
        </w:rPr>
      </w:pPr>
      <w:r w:rsidRPr="00EB2D9C">
        <w:rPr>
          <w:color w:val="222222"/>
          <w:shd w:val="clear" w:color="auto" w:fill="FFFFFF"/>
        </w:rPr>
        <w:t>Egan, P. J., &amp; Mullin, M. (2017). Climate change: US public opinion. </w:t>
      </w:r>
      <w:r w:rsidRPr="00EB2D9C">
        <w:rPr>
          <w:i/>
          <w:iCs/>
          <w:color w:val="222222"/>
          <w:shd w:val="clear" w:color="auto" w:fill="FFFFFF"/>
        </w:rPr>
        <w:t>Annual Review of Political Science</w:t>
      </w:r>
      <w:r w:rsidRPr="00EB2D9C">
        <w:rPr>
          <w:color w:val="222222"/>
          <w:shd w:val="clear" w:color="auto" w:fill="FFFFFF"/>
        </w:rPr>
        <w:t>, </w:t>
      </w:r>
      <w:r w:rsidRPr="00EB2D9C">
        <w:rPr>
          <w:i/>
          <w:iCs/>
          <w:color w:val="222222"/>
          <w:shd w:val="clear" w:color="auto" w:fill="FFFFFF"/>
        </w:rPr>
        <w:t>20</w:t>
      </w:r>
      <w:r w:rsidRPr="00EB2D9C">
        <w:rPr>
          <w:color w:val="222222"/>
          <w:shd w:val="clear" w:color="auto" w:fill="FFFFFF"/>
        </w:rPr>
        <w:t>, 209-227.</w:t>
      </w:r>
    </w:p>
    <w:p w14:paraId="24201BA1" w14:textId="05F01166" w:rsidR="00227FA7" w:rsidRPr="00B93FB5" w:rsidRDefault="00227FA7" w:rsidP="00227FA7">
      <w:pPr>
        <w:ind w:left="720" w:hanging="720"/>
      </w:pPr>
      <w:r w:rsidRPr="00EB2D9C">
        <w:t xml:space="preserve">Funk, C. &amp; </w:t>
      </w:r>
      <w:proofErr w:type="spellStart"/>
      <w:r w:rsidRPr="00EB2D9C">
        <w:t>Hefferon</w:t>
      </w:r>
      <w:proofErr w:type="spellEnd"/>
      <w:r w:rsidRPr="00EB2D9C">
        <w:t>, M. (2019</w:t>
      </w:r>
      <w:r w:rsidRPr="00B93FB5">
        <w:t xml:space="preserve">, November 25). U.S. public views on climate and energy. </w:t>
      </w:r>
      <w:r w:rsidRPr="00B93FB5">
        <w:rPr>
          <w:i/>
          <w:iCs/>
        </w:rPr>
        <w:t>Pew Research Center</w:t>
      </w:r>
      <w:r w:rsidRPr="00B93FB5">
        <w:t>. Retrieved from https://www.pewresearch.org.</w:t>
      </w:r>
    </w:p>
    <w:p w14:paraId="7ED0A4C2" w14:textId="77777777" w:rsidR="00227FA7" w:rsidRPr="00B93FB5" w:rsidRDefault="00227FA7" w:rsidP="00227FA7">
      <w:pPr>
        <w:ind w:left="720" w:hanging="720"/>
      </w:pPr>
      <w:proofErr w:type="spellStart"/>
      <w:r w:rsidRPr="00B93FB5">
        <w:t>Gauchat</w:t>
      </w:r>
      <w:proofErr w:type="spellEnd"/>
      <w:r w:rsidRPr="00B93FB5">
        <w:t xml:space="preserve">, G. (2012). Politicization of science in the public sphere: A study of public trust in the United States, 1974-2010. </w:t>
      </w:r>
      <w:r w:rsidRPr="00B93FB5">
        <w:rPr>
          <w:i/>
          <w:iCs/>
        </w:rPr>
        <w:t>American Sociological Review, 77</w:t>
      </w:r>
      <w:r w:rsidRPr="00B93FB5">
        <w:t>(2), 167-187. DOI: 10.1177/0003122412438225</w:t>
      </w:r>
    </w:p>
    <w:p w14:paraId="254DAC4D" w14:textId="77777777" w:rsidR="00227FA7" w:rsidRPr="00B93FB5" w:rsidRDefault="00227FA7" w:rsidP="00227FA7">
      <w:pPr>
        <w:ind w:left="720" w:hanging="720"/>
      </w:pPr>
      <w:r w:rsidRPr="00B93FB5">
        <w:t xml:space="preserve">Gelman, A. (2010). </w:t>
      </w:r>
      <w:r w:rsidRPr="00B93FB5">
        <w:rPr>
          <w:i/>
          <w:iCs/>
        </w:rPr>
        <w:t>Red state, blue state, rich state, poor state: Why Americans vote the way they do.</w:t>
      </w:r>
      <w:r w:rsidRPr="00B93FB5">
        <w:t xml:space="preserve"> Princeton University Press. </w:t>
      </w:r>
    </w:p>
    <w:p w14:paraId="2FD7C956" w14:textId="77777777" w:rsidR="00227FA7" w:rsidRPr="00B93FB5" w:rsidRDefault="00227FA7" w:rsidP="00227FA7">
      <w:pPr>
        <w:ind w:left="720" w:hanging="720"/>
      </w:pPr>
      <w:proofErr w:type="spellStart"/>
      <w:r w:rsidRPr="00B93FB5">
        <w:lastRenderedPageBreak/>
        <w:t>Gimpel</w:t>
      </w:r>
      <w:proofErr w:type="spellEnd"/>
      <w:r w:rsidRPr="00B93FB5">
        <w:t xml:space="preserve">, J.G., Lay, J.C., &amp; Schuknecht, J.E. (2003). </w:t>
      </w:r>
      <w:r w:rsidRPr="00B93FB5">
        <w:rPr>
          <w:i/>
          <w:iCs/>
        </w:rPr>
        <w:t>Cultivating democracy: Civic environments and political socialization in America.</w:t>
      </w:r>
      <w:r w:rsidRPr="00B93FB5">
        <w:t xml:space="preserve"> Brookings Institution Press. </w:t>
      </w:r>
    </w:p>
    <w:p w14:paraId="55393937" w14:textId="15A30109" w:rsidR="006E458B" w:rsidRPr="006E458B" w:rsidRDefault="006E458B" w:rsidP="0028533B">
      <w:pPr>
        <w:autoSpaceDE w:val="0"/>
        <w:autoSpaceDN w:val="0"/>
        <w:adjustRightInd w:val="0"/>
        <w:ind w:left="720" w:hanging="720"/>
        <w:rPr>
          <w:i/>
          <w:szCs w:val="20"/>
        </w:rPr>
      </w:pPr>
      <w:r w:rsidRPr="006E458B">
        <w:rPr>
          <w:szCs w:val="20"/>
        </w:rPr>
        <w:t xml:space="preserve">Hemby, T.J., </w:t>
      </w:r>
      <w:r w:rsidRPr="006E458B">
        <w:rPr>
          <w:bCs/>
          <w:szCs w:val="20"/>
        </w:rPr>
        <w:t>Powell, R.B.</w:t>
      </w:r>
      <w:r w:rsidRPr="006E458B">
        <w:rPr>
          <w:szCs w:val="20"/>
        </w:rPr>
        <w:t>, &amp; Stern, M.J. (forthcoming). Availability and distribution of environmental education field trip programs for adolescent students in the U.S.: A national study of spatial accessibility.</w:t>
      </w:r>
      <w:r w:rsidRPr="006E458B">
        <w:rPr>
          <w:i/>
          <w:szCs w:val="20"/>
        </w:rPr>
        <w:t xml:space="preserve"> Environmental Education Research.</w:t>
      </w:r>
    </w:p>
    <w:p w14:paraId="7A9FA28D" w14:textId="13F5BBFB" w:rsidR="0028533B" w:rsidRPr="0028533B" w:rsidRDefault="0028533B" w:rsidP="0028533B">
      <w:pPr>
        <w:autoSpaceDE w:val="0"/>
        <w:autoSpaceDN w:val="0"/>
        <w:adjustRightInd w:val="0"/>
        <w:ind w:left="720" w:hanging="720"/>
      </w:pPr>
      <w:proofErr w:type="spellStart"/>
      <w:r w:rsidRPr="0028533B">
        <w:rPr>
          <w:color w:val="222222"/>
          <w:shd w:val="clear" w:color="auto" w:fill="FFFFFF"/>
        </w:rPr>
        <w:t>Hollweg</w:t>
      </w:r>
      <w:proofErr w:type="spellEnd"/>
      <w:r w:rsidRPr="0028533B">
        <w:rPr>
          <w:color w:val="222222"/>
          <w:shd w:val="clear" w:color="auto" w:fill="FFFFFF"/>
        </w:rPr>
        <w:t xml:space="preserve">, K. S., Taylor, J. R., Bybee, R. W., </w:t>
      </w:r>
      <w:proofErr w:type="spellStart"/>
      <w:r w:rsidRPr="0028533B">
        <w:rPr>
          <w:color w:val="222222"/>
          <w:shd w:val="clear" w:color="auto" w:fill="FFFFFF"/>
        </w:rPr>
        <w:t>Marcinkowski</w:t>
      </w:r>
      <w:proofErr w:type="spellEnd"/>
      <w:r w:rsidRPr="0028533B">
        <w:rPr>
          <w:color w:val="222222"/>
          <w:shd w:val="clear" w:color="auto" w:fill="FFFFFF"/>
        </w:rPr>
        <w:t xml:space="preserve">, T. J., McBeth, W. C., &amp; </w:t>
      </w:r>
      <w:proofErr w:type="spellStart"/>
      <w:r w:rsidRPr="0028533B">
        <w:rPr>
          <w:color w:val="222222"/>
          <w:shd w:val="clear" w:color="auto" w:fill="FFFFFF"/>
        </w:rPr>
        <w:t>Zoido</w:t>
      </w:r>
      <w:proofErr w:type="spellEnd"/>
      <w:r w:rsidRPr="0028533B">
        <w:rPr>
          <w:color w:val="222222"/>
          <w:shd w:val="clear" w:color="auto" w:fill="FFFFFF"/>
        </w:rPr>
        <w:t xml:space="preserve">, P. (2011). </w:t>
      </w:r>
      <w:r w:rsidRPr="0028533B">
        <w:rPr>
          <w:i/>
          <w:color w:val="222222"/>
          <w:shd w:val="clear" w:color="auto" w:fill="FFFFFF"/>
        </w:rPr>
        <w:t>Developing a framework for assessing environmental literacy</w:t>
      </w:r>
      <w:r w:rsidRPr="0028533B">
        <w:rPr>
          <w:color w:val="222222"/>
          <w:shd w:val="clear" w:color="auto" w:fill="FFFFFF"/>
        </w:rPr>
        <w:t>. </w:t>
      </w:r>
      <w:r w:rsidRPr="0028533B">
        <w:rPr>
          <w:iCs/>
          <w:color w:val="222222"/>
          <w:shd w:val="clear" w:color="auto" w:fill="FFFFFF"/>
        </w:rPr>
        <w:t>Washington, DC: North American Association for Environmental Education</w:t>
      </w:r>
      <w:r w:rsidRPr="0028533B">
        <w:rPr>
          <w:color w:val="222222"/>
          <w:shd w:val="clear" w:color="auto" w:fill="FFFFFF"/>
        </w:rPr>
        <w:t>.</w:t>
      </w:r>
      <w:r w:rsidRPr="0028533B">
        <w:t xml:space="preserve"> </w:t>
      </w:r>
    </w:p>
    <w:p w14:paraId="0453A709" w14:textId="2A542F19" w:rsidR="00227FA7" w:rsidRPr="00B93FB5" w:rsidRDefault="00227FA7" w:rsidP="0028533B">
      <w:pPr>
        <w:autoSpaceDE w:val="0"/>
        <w:autoSpaceDN w:val="0"/>
        <w:adjustRightInd w:val="0"/>
        <w:ind w:left="720" w:hanging="720"/>
      </w:pPr>
      <w:r w:rsidRPr="00B93FB5">
        <w:t xml:space="preserve">Hopkins, D.J. (2018). </w:t>
      </w:r>
      <w:r w:rsidRPr="00B93FB5">
        <w:rPr>
          <w:i/>
          <w:iCs/>
        </w:rPr>
        <w:t xml:space="preserve">The increasingly United States: How and why American political behavior nationalized. </w:t>
      </w:r>
      <w:r w:rsidRPr="00B93FB5">
        <w:t xml:space="preserve">The University of Chicago Press. </w:t>
      </w:r>
    </w:p>
    <w:p w14:paraId="183BBFFD" w14:textId="77777777" w:rsidR="00227FA7" w:rsidRPr="00B93FB5" w:rsidRDefault="00227FA7" w:rsidP="00227FA7">
      <w:pPr>
        <w:ind w:left="720" w:hanging="720"/>
      </w:pPr>
      <w:proofErr w:type="spellStart"/>
      <w:r w:rsidRPr="00B93FB5">
        <w:t>Huckfeldt</w:t>
      </w:r>
      <w:proofErr w:type="spellEnd"/>
      <w:r w:rsidRPr="00B93FB5">
        <w:t xml:space="preserve">, R., </w:t>
      </w:r>
      <w:proofErr w:type="spellStart"/>
      <w:r w:rsidRPr="00B93FB5">
        <w:t>Mondak</w:t>
      </w:r>
      <w:proofErr w:type="spellEnd"/>
      <w:r w:rsidRPr="00B93FB5">
        <w:t xml:space="preserve">, J.J., Craw, M., Morehouse Mendez, J. (2005). Making sense of candidates: Partisanship, ideology, and issues as guides to judgement. </w:t>
      </w:r>
      <w:r w:rsidRPr="00B93FB5">
        <w:rPr>
          <w:i/>
          <w:iCs/>
        </w:rPr>
        <w:t>Cognitive Brain Research, 23</w:t>
      </w:r>
      <w:r w:rsidRPr="00B93FB5">
        <w:t xml:space="preserve">(1), 11-23. https://linkinghub.elsevier.com/retrieve/pii/S0926641005000133. </w:t>
      </w:r>
    </w:p>
    <w:p w14:paraId="47411DD5" w14:textId="77777777" w:rsidR="00227FA7" w:rsidRPr="00B93FB5" w:rsidRDefault="00227FA7" w:rsidP="00227FA7">
      <w:pPr>
        <w:ind w:left="720" w:hanging="720"/>
      </w:pPr>
      <w:r w:rsidRPr="00B93FB5">
        <w:t xml:space="preserve">Jacobson, G.C. (2012). The electoral origins of polarized politics: Evidence from the 2010 Cooperative Congressional Election Study. </w:t>
      </w:r>
      <w:r w:rsidRPr="00B93FB5">
        <w:rPr>
          <w:i/>
          <w:iCs/>
        </w:rPr>
        <w:t>American Behavioral Scientist, 56</w:t>
      </w:r>
      <w:r w:rsidRPr="00B93FB5">
        <w:t>(12), 1612-1630. DOI: 10.1177/0002764212463352</w:t>
      </w:r>
    </w:p>
    <w:p w14:paraId="282254D0" w14:textId="77777777" w:rsidR="00227FA7" w:rsidRPr="00B93FB5" w:rsidRDefault="00227FA7" w:rsidP="00227FA7">
      <w:pPr>
        <w:ind w:left="720" w:hanging="720"/>
      </w:pPr>
      <w:r w:rsidRPr="00B93FB5">
        <w:t xml:space="preserve">Jennings, M.K., Niemi, R.G., 1974. </w:t>
      </w:r>
      <w:r w:rsidRPr="00B93FB5">
        <w:rPr>
          <w:i/>
          <w:iCs/>
        </w:rPr>
        <w:t xml:space="preserve">The political character of adolescence: The </w:t>
      </w:r>
      <w:r>
        <w:rPr>
          <w:i/>
          <w:iCs/>
        </w:rPr>
        <w:t>i</w:t>
      </w:r>
      <w:r w:rsidRPr="00B93FB5">
        <w:rPr>
          <w:i/>
          <w:iCs/>
        </w:rPr>
        <w:t>nfluence of families and schools.</w:t>
      </w:r>
      <w:r w:rsidRPr="00B93FB5">
        <w:t xml:space="preserve"> Princeton University Press.</w:t>
      </w:r>
    </w:p>
    <w:p w14:paraId="481C80A2" w14:textId="77777777" w:rsidR="00227FA7" w:rsidRPr="00B93FB5" w:rsidRDefault="00227FA7" w:rsidP="00227FA7">
      <w:pPr>
        <w:ind w:left="720" w:hanging="720"/>
      </w:pPr>
      <w:r w:rsidRPr="00B93FB5">
        <w:t xml:space="preserve">Jennings, M.K. &amp; Niemi, R.G. (1981). </w:t>
      </w:r>
      <w:r w:rsidRPr="00B93FB5">
        <w:rPr>
          <w:i/>
          <w:iCs/>
        </w:rPr>
        <w:t>Generations and politics: A panel study of young adults and their parents.</w:t>
      </w:r>
      <w:r w:rsidRPr="00B93FB5">
        <w:t xml:space="preserve"> Princeton University Press.</w:t>
      </w:r>
    </w:p>
    <w:p w14:paraId="087FB53A" w14:textId="77777777" w:rsidR="00227FA7" w:rsidRPr="00B93FB5" w:rsidRDefault="00227FA7" w:rsidP="00227FA7">
      <w:pPr>
        <w:ind w:left="720" w:hanging="720"/>
      </w:pPr>
      <w:r w:rsidRPr="00B93FB5">
        <w:t xml:space="preserve">Jennings, M.K. (2002). Generation units and the student protest movement in the United States: an intra- and intergenerational analysis. </w:t>
      </w:r>
      <w:r w:rsidRPr="00B93FB5">
        <w:rPr>
          <w:i/>
          <w:iCs/>
        </w:rPr>
        <w:t>Political Psychology, 23</w:t>
      </w:r>
      <w:r w:rsidRPr="00B93FB5">
        <w:t xml:space="preserve">(2), 303-324. </w:t>
      </w:r>
    </w:p>
    <w:p w14:paraId="2658148A" w14:textId="77777777" w:rsidR="00227FA7" w:rsidRPr="00B93FB5" w:rsidRDefault="00227FA7" w:rsidP="00227FA7">
      <w:pPr>
        <w:ind w:left="720" w:hanging="720"/>
      </w:pPr>
      <w:r w:rsidRPr="00B93FB5">
        <w:t xml:space="preserve">Johnston, R., Manley, D., Jones, K. (2016). Spatial polarization of presidential voting in the United States, 1992-2012: The “Big Sort” revisited. </w:t>
      </w:r>
      <w:r w:rsidRPr="00B93FB5">
        <w:rPr>
          <w:i/>
          <w:iCs/>
        </w:rPr>
        <w:t>Annals of the American Association of Geographers, 106</w:t>
      </w:r>
      <w:r w:rsidRPr="00B93FB5">
        <w:t xml:space="preserve">(5), 1047-1062. http://www.tandfonline.com/doi/full/10.1080/24694452.2016.1191991. </w:t>
      </w:r>
    </w:p>
    <w:p w14:paraId="1C18BAE4" w14:textId="77777777" w:rsidR="00227FA7" w:rsidRPr="00B93FB5" w:rsidRDefault="00227FA7" w:rsidP="00227FA7">
      <w:pPr>
        <w:ind w:left="720" w:hanging="720"/>
      </w:pPr>
      <w:r w:rsidRPr="00B93FB5">
        <w:t xml:space="preserve">Johnston, R., Manley, D., Jones, K., </w:t>
      </w:r>
      <w:proofErr w:type="spellStart"/>
      <w:r w:rsidRPr="00B93FB5">
        <w:t>Rohla</w:t>
      </w:r>
      <w:proofErr w:type="spellEnd"/>
      <w:r w:rsidRPr="00B93FB5">
        <w:t xml:space="preserve">, R. (2020). The geographical polarization of the American electorate: A country of increasing electoral landslides? </w:t>
      </w:r>
      <w:proofErr w:type="spellStart"/>
      <w:r w:rsidRPr="00B93FB5">
        <w:rPr>
          <w:i/>
          <w:iCs/>
        </w:rPr>
        <w:t>GeoJournal</w:t>
      </w:r>
      <w:proofErr w:type="spellEnd"/>
      <w:r w:rsidRPr="00B93FB5">
        <w:rPr>
          <w:i/>
          <w:iCs/>
        </w:rPr>
        <w:t>, 85</w:t>
      </w:r>
      <w:r w:rsidRPr="00B93FB5">
        <w:t xml:space="preserve">(1), 187-204. http://link.springer.com/10.1007/s10708-018-9955-3. </w:t>
      </w:r>
    </w:p>
    <w:p w14:paraId="7BC67E9D" w14:textId="77777777" w:rsidR="00227FA7" w:rsidRPr="00B93FB5" w:rsidRDefault="00227FA7" w:rsidP="00227FA7">
      <w:pPr>
        <w:ind w:left="720" w:hanging="720"/>
      </w:pPr>
      <w:proofErr w:type="spellStart"/>
      <w:r w:rsidRPr="00B93FB5">
        <w:t>Jost</w:t>
      </w:r>
      <w:proofErr w:type="spellEnd"/>
      <w:r w:rsidRPr="00B93FB5">
        <w:t xml:space="preserve">, J.T. (2017). Asymmetries abound: Ideological differences in emotion, partisanship, motivated reasoning, social network structure, and political trust. </w:t>
      </w:r>
      <w:r w:rsidRPr="00B93FB5">
        <w:rPr>
          <w:i/>
          <w:iCs/>
        </w:rPr>
        <w:t>Journal of Consumer Psychology, 27</w:t>
      </w:r>
      <w:r w:rsidRPr="00B93FB5">
        <w:t xml:space="preserve">(4), 546-553. http://doi.wiley.com/10.1016/j.jcps.2017.08.004. </w:t>
      </w:r>
    </w:p>
    <w:p w14:paraId="08F4394F" w14:textId="77777777" w:rsidR="00227FA7" w:rsidRPr="00B93FB5" w:rsidRDefault="00227FA7" w:rsidP="00227FA7">
      <w:pPr>
        <w:ind w:left="720" w:hanging="720"/>
      </w:pPr>
      <w:r w:rsidRPr="00B93FB5">
        <w:t xml:space="preserve">Kahan, D.M. (2013). Ideology, motivated reasoning, and cognitive reflection. </w:t>
      </w:r>
      <w:r w:rsidRPr="00B93FB5">
        <w:rPr>
          <w:i/>
          <w:iCs/>
        </w:rPr>
        <w:t>Judgement and Decision Making, 8</w:t>
      </w:r>
      <w:r w:rsidRPr="00B93FB5">
        <w:t xml:space="preserve">, 407-424. </w:t>
      </w:r>
    </w:p>
    <w:p w14:paraId="1C47514F" w14:textId="77777777" w:rsidR="00227FA7" w:rsidRPr="00B93FB5" w:rsidRDefault="00227FA7" w:rsidP="00227FA7">
      <w:pPr>
        <w:ind w:left="720" w:hanging="720"/>
      </w:pPr>
      <w:r w:rsidRPr="00B93FB5">
        <w:t xml:space="preserve">Kahan, D.M., Donald, B., Jenkins-Smith, H. (2011). Cultural cognition of scientific consensus. </w:t>
      </w:r>
      <w:r w:rsidRPr="00B93FB5">
        <w:rPr>
          <w:i/>
          <w:iCs/>
        </w:rPr>
        <w:t>Journal of Risk Research, 14</w:t>
      </w:r>
      <w:r w:rsidRPr="00B93FB5">
        <w:t xml:space="preserve">(2), 147-74. </w:t>
      </w:r>
      <w:proofErr w:type="spellStart"/>
      <w:r w:rsidRPr="00B93FB5">
        <w:t>doi</w:t>
      </w:r>
      <w:proofErr w:type="spellEnd"/>
      <w:r w:rsidRPr="00B93FB5">
        <w:t xml:space="preserve">: 10.1080/13669877.2010.511246. </w:t>
      </w:r>
    </w:p>
    <w:p w14:paraId="770713B8" w14:textId="77777777" w:rsidR="00227FA7" w:rsidRPr="00B93FB5" w:rsidRDefault="00227FA7" w:rsidP="00227FA7">
      <w:pPr>
        <w:ind w:left="720" w:hanging="720"/>
      </w:pPr>
      <w:r w:rsidRPr="00B93FB5">
        <w:t xml:space="preserve">Kahn, P.H. &amp; Kellert, S.R. (2002). </w:t>
      </w:r>
      <w:r w:rsidRPr="00B93FB5">
        <w:rPr>
          <w:i/>
          <w:iCs/>
        </w:rPr>
        <w:t>Children and nature: Psychological, sociocultural, and evolutionary investigations</w:t>
      </w:r>
      <w:r w:rsidRPr="00B93FB5">
        <w:t xml:space="preserve"> (p. 117–151). MIT Press.</w:t>
      </w:r>
    </w:p>
    <w:p w14:paraId="658C79BF" w14:textId="77777777" w:rsidR="00227FA7" w:rsidRPr="00D756FC" w:rsidRDefault="00227FA7" w:rsidP="00227FA7">
      <w:pPr>
        <w:ind w:left="720" w:hanging="720"/>
      </w:pPr>
      <w:r>
        <w:t xml:space="preserve">Keating, A. (2016). Are cosmopolitan dispositions learn at home, at school, or through contact with others? Evidence from young people in Europe. </w:t>
      </w:r>
      <w:r>
        <w:rPr>
          <w:i/>
          <w:iCs/>
        </w:rPr>
        <w:t>Journal of Youth Studies, 19</w:t>
      </w:r>
      <w:r>
        <w:t xml:space="preserve">(3), 338-357. </w:t>
      </w:r>
      <w:r w:rsidRPr="00D756FC">
        <w:t>DOI: 10.1080/13676261.2015.1072617</w:t>
      </w:r>
      <w:r>
        <w:t>.</w:t>
      </w:r>
    </w:p>
    <w:p w14:paraId="5927709F" w14:textId="77777777" w:rsidR="00227FA7" w:rsidRPr="00B93FB5" w:rsidRDefault="00227FA7" w:rsidP="00227FA7">
      <w:pPr>
        <w:ind w:left="720" w:hanging="720"/>
      </w:pPr>
      <w:r w:rsidRPr="00B93FB5">
        <w:t xml:space="preserve">Kinder, D. R., &amp; </w:t>
      </w:r>
      <w:proofErr w:type="spellStart"/>
      <w:r w:rsidRPr="00B93FB5">
        <w:t>Kalmoe</w:t>
      </w:r>
      <w:proofErr w:type="spellEnd"/>
      <w:r w:rsidRPr="00B93FB5">
        <w:t xml:space="preserve">, N. P. (2017). </w:t>
      </w:r>
      <w:r w:rsidRPr="00B93FB5">
        <w:rPr>
          <w:i/>
          <w:iCs/>
        </w:rPr>
        <w:t>Neither liberal nor conservative: Ideological innocence in the American public.</w:t>
      </w:r>
      <w:r w:rsidRPr="00B93FB5">
        <w:t xml:space="preserve"> University Of Chicago Press.</w:t>
      </w:r>
    </w:p>
    <w:p w14:paraId="5918749A" w14:textId="77777777" w:rsidR="00227FA7" w:rsidRPr="00B93FB5" w:rsidRDefault="00227FA7" w:rsidP="00227FA7">
      <w:pPr>
        <w:ind w:left="720" w:hanging="720"/>
      </w:pPr>
      <w:r w:rsidRPr="00B93FB5">
        <w:t xml:space="preserve">Kinsella, C., </w:t>
      </w:r>
      <w:proofErr w:type="spellStart"/>
      <w:r w:rsidRPr="00B93FB5">
        <w:t>McTague</w:t>
      </w:r>
      <w:proofErr w:type="spellEnd"/>
      <w:r w:rsidRPr="00B93FB5">
        <w:t xml:space="preserve">, C., &amp; Raleigh, K.N. (2015). Unmasking geographic polarization and clustering: A micro-scalar analysis of partisan voting behavior. </w:t>
      </w:r>
      <w:r w:rsidRPr="00B93FB5">
        <w:rPr>
          <w:i/>
          <w:iCs/>
        </w:rPr>
        <w:t>Applied Geography, 62</w:t>
      </w:r>
      <w:r w:rsidRPr="00B93FB5">
        <w:t xml:space="preserve">, 404-419. https://linkinghub.elsevier.com/retrieve/pii/S0143622815001071. </w:t>
      </w:r>
    </w:p>
    <w:p w14:paraId="1A3E26EB" w14:textId="77777777" w:rsidR="00227FA7" w:rsidRPr="00B93FB5" w:rsidRDefault="00227FA7" w:rsidP="00227FA7">
      <w:pPr>
        <w:ind w:left="720" w:hanging="720"/>
      </w:pPr>
      <w:r w:rsidRPr="00B93FB5">
        <w:lastRenderedPageBreak/>
        <w:t xml:space="preserve">Kitchens, K. (2020). Partisan politics and public education: Finding the formula for (electoral) success. </w:t>
      </w:r>
      <w:r w:rsidRPr="00B93FB5">
        <w:rPr>
          <w:i/>
          <w:iCs/>
        </w:rPr>
        <w:t>State Politics &amp; Policy Quarterly, 00</w:t>
      </w:r>
      <w:r w:rsidRPr="00B93FB5">
        <w:t>(0), 1-25. DOI: 10.1177/1532440020933205</w:t>
      </w:r>
    </w:p>
    <w:p w14:paraId="5D67B938" w14:textId="77777777" w:rsidR="00227FA7" w:rsidRPr="00B93FB5" w:rsidRDefault="00227FA7" w:rsidP="00227FA7">
      <w:pPr>
        <w:ind w:left="720" w:hanging="720"/>
      </w:pPr>
      <w:proofErr w:type="spellStart"/>
      <w:r w:rsidRPr="00B93FB5">
        <w:t>Kitschelt</w:t>
      </w:r>
      <w:proofErr w:type="spellEnd"/>
      <w:r w:rsidRPr="00B93FB5">
        <w:t xml:space="preserve">, H.P. &amp; Rehm, P. (2019). Secular partisan realignment in the United States: The socioeconomic reconfiguration of white partisan support since the New Deal era. </w:t>
      </w:r>
      <w:r w:rsidRPr="00B93FB5">
        <w:rPr>
          <w:i/>
          <w:iCs/>
        </w:rPr>
        <w:t>Politics &amp; Society, 47</w:t>
      </w:r>
      <w:r w:rsidRPr="00B93FB5">
        <w:t>(3), 425-479. https://doi.org/10.1177/0032329219861215.</w:t>
      </w:r>
    </w:p>
    <w:p w14:paraId="6F398DDB" w14:textId="77777777" w:rsidR="00227FA7" w:rsidRPr="00B93FB5" w:rsidRDefault="00227FA7" w:rsidP="00227FA7">
      <w:pPr>
        <w:ind w:left="720" w:hanging="720"/>
        <w:rPr>
          <w:shd w:val="clear" w:color="auto" w:fill="FFFFFF"/>
        </w:rPr>
      </w:pPr>
      <w:proofErr w:type="spellStart"/>
      <w:r w:rsidRPr="00B93FB5">
        <w:rPr>
          <w:shd w:val="clear" w:color="auto" w:fill="FFFFFF"/>
        </w:rPr>
        <w:t>Klimstra</w:t>
      </w:r>
      <w:proofErr w:type="spellEnd"/>
      <w:r w:rsidRPr="00B93FB5">
        <w:rPr>
          <w:shd w:val="clear" w:color="auto" w:fill="FFFFFF"/>
        </w:rPr>
        <w:t xml:space="preserve">, T. A., Hale III, W. W., </w:t>
      </w:r>
      <w:proofErr w:type="spellStart"/>
      <w:r w:rsidRPr="00B93FB5">
        <w:rPr>
          <w:shd w:val="clear" w:color="auto" w:fill="FFFFFF"/>
        </w:rPr>
        <w:t>Raaijmakers</w:t>
      </w:r>
      <w:proofErr w:type="spellEnd"/>
      <w:r w:rsidRPr="00B93FB5">
        <w:rPr>
          <w:shd w:val="clear" w:color="auto" w:fill="FFFFFF"/>
        </w:rPr>
        <w:t xml:space="preserve">, Q. A., </w:t>
      </w:r>
      <w:proofErr w:type="spellStart"/>
      <w:r w:rsidRPr="00B93FB5">
        <w:rPr>
          <w:shd w:val="clear" w:color="auto" w:fill="FFFFFF"/>
        </w:rPr>
        <w:t>Branje</w:t>
      </w:r>
      <w:proofErr w:type="spellEnd"/>
      <w:r w:rsidRPr="00B93FB5">
        <w:rPr>
          <w:shd w:val="clear" w:color="auto" w:fill="FFFFFF"/>
        </w:rPr>
        <w:t xml:space="preserve">, S. J., &amp; </w:t>
      </w:r>
      <w:proofErr w:type="spellStart"/>
      <w:r w:rsidRPr="00B93FB5">
        <w:rPr>
          <w:shd w:val="clear" w:color="auto" w:fill="FFFFFF"/>
        </w:rPr>
        <w:t>Meeus</w:t>
      </w:r>
      <w:proofErr w:type="spellEnd"/>
      <w:r w:rsidRPr="00B93FB5">
        <w:rPr>
          <w:shd w:val="clear" w:color="auto" w:fill="FFFFFF"/>
        </w:rPr>
        <w:t xml:space="preserve">, W. H. (2010). Identity formation in adolescence: Change or stability? </w:t>
      </w:r>
      <w:r w:rsidRPr="00B93FB5">
        <w:rPr>
          <w:i/>
          <w:iCs/>
          <w:shd w:val="clear" w:color="auto" w:fill="FFFFFF"/>
        </w:rPr>
        <w:t>Journal of Youth and Adolescence</w:t>
      </w:r>
      <w:r w:rsidRPr="00B93FB5">
        <w:rPr>
          <w:shd w:val="clear" w:color="auto" w:fill="FFFFFF"/>
        </w:rPr>
        <w:t>, </w:t>
      </w:r>
      <w:r w:rsidRPr="00B93FB5">
        <w:rPr>
          <w:i/>
          <w:iCs/>
          <w:shd w:val="clear" w:color="auto" w:fill="FFFFFF"/>
        </w:rPr>
        <w:t>39</w:t>
      </w:r>
      <w:r w:rsidRPr="00B93FB5">
        <w:rPr>
          <w:shd w:val="clear" w:color="auto" w:fill="FFFFFF"/>
        </w:rPr>
        <w:t>(2), 150-162.</w:t>
      </w:r>
    </w:p>
    <w:p w14:paraId="0E03F5B6" w14:textId="77777777" w:rsidR="00227FA7" w:rsidRPr="00B93FB5" w:rsidRDefault="00227FA7" w:rsidP="00227FA7">
      <w:pPr>
        <w:ind w:left="720" w:hanging="720"/>
      </w:pPr>
      <w:r w:rsidRPr="00B93FB5">
        <w:t xml:space="preserve">Kohlberg, L. (1971). Stages of moral development. </w:t>
      </w:r>
      <w:r w:rsidRPr="00B93FB5">
        <w:rPr>
          <w:i/>
          <w:iCs/>
        </w:rPr>
        <w:t>Moral Education, 1</w:t>
      </w:r>
      <w:r w:rsidRPr="00B93FB5">
        <w:t xml:space="preserve">(51), 23-92. </w:t>
      </w:r>
    </w:p>
    <w:p w14:paraId="48F5F100" w14:textId="77777777" w:rsidR="00227FA7" w:rsidRPr="00B93FB5" w:rsidRDefault="00227FA7" w:rsidP="00227FA7">
      <w:pPr>
        <w:ind w:left="720" w:hanging="720"/>
      </w:pPr>
      <w:r w:rsidRPr="00B93FB5">
        <w:t xml:space="preserve">Krishna, A. &amp; </w:t>
      </w:r>
      <w:proofErr w:type="spellStart"/>
      <w:r w:rsidRPr="00B93FB5">
        <w:t>Sokolova</w:t>
      </w:r>
      <w:proofErr w:type="spellEnd"/>
      <w:r w:rsidRPr="00B93FB5">
        <w:t xml:space="preserve">, T. (2017). A focus on partisanship: How it impacts voting behaviors and political attitudes. </w:t>
      </w:r>
      <w:r w:rsidRPr="00B93FB5">
        <w:rPr>
          <w:i/>
          <w:iCs/>
        </w:rPr>
        <w:t>Journal of Consumer Psychology, 27</w:t>
      </w:r>
      <w:r w:rsidRPr="00B93FB5">
        <w:t xml:space="preserve">(4), 537-545. http://doi.wiley.com/10.1016/j.jcps.2017.07.005. </w:t>
      </w:r>
    </w:p>
    <w:p w14:paraId="1E2B7B72" w14:textId="77777777" w:rsidR="00227FA7" w:rsidRPr="00B93FB5" w:rsidRDefault="00227FA7" w:rsidP="00227FA7">
      <w:pPr>
        <w:ind w:left="720" w:hanging="720"/>
      </w:pPr>
      <w:r w:rsidRPr="00B93FB5">
        <w:t xml:space="preserve">Kroger, J. (2006). </w:t>
      </w:r>
      <w:r w:rsidRPr="00B93FB5">
        <w:rPr>
          <w:i/>
          <w:iCs/>
        </w:rPr>
        <w:t>Identity Development: Adolescence through Adulthood</w:t>
      </w:r>
      <w:r w:rsidRPr="00B93FB5">
        <w:t xml:space="preserve">. Sage Publications. </w:t>
      </w:r>
    </w:p>
    <w:p w14:paraId="001276B9" w14:textId="77777777" w:rsidR="00AD655A" w:rsidRPr="00AD655A" w:rsidRDefault="00AD655A" w:rsidP="00227FA7">
      <w:pPr>
        <w:ind w:left="720" w:hanging="720"/>
        <w:rPr>
          <w:shd w:val="clear" w:color="auto" w:fill="FFFFFF"/>
        </w:rPr>
      </w:pPr>
      <w:r w:rsidRPr="00AD655A">
        <w:rPr>
          <w:shd w:val="clear" w:color="auto" w:fill="FFFFFF"/>
        </w:rPr>
        <w:t xml:space="preserve">Lawson, D. F., Stevenson, K. T., Peterson, M. N., Carrier, S. J., L. </w:t>
      </w:r>
      <w:proofErr w:type="spellStart"/>
      <w:r w:rsidRPr="00AD655A">
        <w:rPr>
          <w:shd w:val="clear" w:color="auto" w:fill="FFFFFF"/>
        </w:rPr>
        <w:t>Strnad</w:t>
      </w:r>
      <w:proofErr w:type="spellEnd"/>
      <w:r w:rsidRPr="00AD655A">
        <w:rPr>
          <w:shd w:val="clear" w:color="auto" w:fill="FFFFFF"/>
        </w:rPr>
        <w:t xml:space="preserve">, R., &amp; </w:t>
      </w:r>
      <w:proofErr w:type="spellStart"/>
      <w:r w:rsidRPr="00AD655A">
        <w:rPr>
          <w:shd w:val="clear" w:color="auto" w:fill="FFFFFF"/>
        </w:rPr>
        <w:t>Seekamp</w:t>
      </w:r>
      <w:proofErr w:type="spellEnd"/>
      <w:r w:rsidRPr="00AD655A">
        <w:rPr>
          <w:shd w:val="clear" w:color="auto" w:fill="FFFFFF"/>
        </w:rPr>
        <w:t>, E. (2019). Children can foster climate change concern among their parents. </w:t>
      </w:r>
      <w:r w:rsidRPr="00AD655A">
        <w:rPr>
          <w:i/>
          <w:iCs/>
          <w:shd w:val="clear" w:color="auto" w:fill="FFFFFF"/>
        </w:rPr>
        <w:t>Nature Climate Change</w:t>
      </w:r>
      <w:r w:rsidRPr="00AD655A">
        <w:rPr>
          <w:shd w:val="clear" w:color="auto" w:fill="FFFFFF"/>
        </w:rPr>
        <w:t>, </w:t>
      </w:r>
      <w:r w:rsidRPr="00AD655A">
        <w:rPr>
          <w:i/>
          <w:iCs/>
          <w:shd w:val="clear" w:color="auto" w:fill="FFFFFF"/>
        </w:rPr>
        <w:t>9</w:t>
      </w:r>
      <w:r w:rsidRPr="00AD655A">
        <w:rPr>
          <w:shd w:val="clear" w:color="auto" w:fill="FFFFFF"/>
        </w:rPr>
        <w:t>(6), 458-462.</w:t>
      </w:r>
    </w:p>
    <w:p w14:paraId="052B9437" w14:textId="699123AC" w:rsidR="00227FA7" w:rsidRPr="00B93FB5" w:rsidRDefault="00227FA7" w:rsidP="00227FA7">
      <w:pPr>
        <w:ind w:left="720" w:hanging="720"/>
      </w:pPr>
      <w:proofErr w:type="spellStart"/>
      <w:r w:rsidRPr="00B93FB5">
        <w:t>Levendusky</w:t>
      </w:r>
      <w:proofErr w:type="spellEnd"/>
      <w:r w:rsidRPr="00B93FB5">
        <w:t xml:space="preserve">, M. (2009). </w:t>
      </w:r>
      <w:r w:rsidRPr="00B93FB5">
        <w:rPr>
          <w:i/>
          <w:iCs/>
        </w:rPr>
        <w:t>The partisan sort: How liberals became Democrats and conservatives became Republicans</w:t>
      </w:r>
      <w:r w:rsidRPr="00B93FB5">
        <w:t xml:space="preserve">. The University of Chicago Press. </w:t>
      </w:r>
    </w:p>
    <w:p w14:paraId="73E1C69D" w14:textId="77777777" w:rsidR="00227FA7" w:rsidRPr="00B93FB5" w:rsidRDefault="00227FA7" w:rsidP="00227FA7">
      <w:pPr>
        <w:ind w:left="720" w:hanging="720"/>
      </w:pPr>
      <w:r w:rsidRPr="00B93FB5">
        <w:t xml:space="preserve">Levin, M.L. (1961). Social climates and political socialization. </w:t>
      </w:r>
      <w:r w:rsidRPr="00B93FB5">
        <w:rPr>
          <w:i/>
          <w:iCs/>
        </w:rPr>
        <w:t>The Public Opinion Quarterly, 25</w:t>
      </w:r>
      <w:r w:rsidRPr="00B93FB5">
        <w:t>(4), p. 596-606.</w:t>
      </w:r>
    </w:p>
    <w:p w14:paraId="378D5D90" w14:textId="77777777" w:rsidR="00227FA7" w:rsidRPr="00B93FB5" w:rsidRDefault="00227FA7" w:rsidP="00227FA7">
      <w:pPr>
        <w:ind w:left="720" w:hanging="720"/>
      </w:pPr>
      <w:r w:rsidRPr="00B93FB5">
        <w:t xml:space="preserve">Lewis-Beck, M., Jacoby, W.G., </w:t>
      </w:r>
      <w:proofErr w:type="spellStart"/>
      <w:r w:rsidRPr="00B93FB5">
        <w:t>Norpoth</w:t>
      </w:r>
      <w:proofErr w:type="spellEnd"/>
      <w:r w:rsidRPr="00B93FB5">
        <w:t xml:space="preserve">, H., Weisberg, H.F. (2008). </w:t>
      </w:r>
      <w:r w:rsidRPr="00B93FB5">
        <w:rPr>
          <w:i/>
          <w:iCs/>
        </w:rPr>
        <w:t>The American Voter Revisited.</w:t>
      </w:r>
      <w:r w:rsidRPr="00B93FB5">
        <w:t xml:space="preserve"> The University of Michigan Press.</w:t>
      </w:r>
    </w:p>
    <w:p w14:paraId="454B1FC6" w14:textId="77777777" w:rsidR="00227FA7" w:rsidRPr="00B93FB5" w:rsidRDefault="00227FA7" w:rsidP="00227FA7">
      <w:pPr>
        <w:ind w:left="720" w:hanging="720"/>
      </w:pPr>
      <w:proofErr w:type="spellStart"/>
      <w:r w:rsidRPr="00B93FB5">
        <w:t>MacKuen</w:t>
      </w:r>
      <w:proofErr w:type="spellEnd"/>
      <w:r w:rsidRPr="00B93FB5">
        <w:t xml:space="preserve">, M. &amp; Brown, C. (1987). Political context and attitude change. </w:t>
      </w:r>
      <w:r w:rsidRPr="00B93FB5">
        <w:rPr>
          <w:i/>
          <w:iCs/>
        </w:rPr>
        <w:t>American Political Science Review, 81</w:t>
      </w:r>
      <w:r w:rsidRPr="00B93FB5">
        <w:t xml:space="preserve">(2), 471-490. https://www.cambridge.org/core/product/identifier/S0003055400194468/type/journal_article. </w:t>
      </w:r>
    </w:p>
    <w:p w14:paraId="6E0ECD30" w14:textId="77777777" w:rsidR="00227FA7" w:rsidRPr="00B93FB5" w:rsidRDefault="00227FA7" w:rsidP="00227FA7">
      <w:pPr>
        <w:ind w:left="720" w:hanging="720"/>
      </w:pPr>
      <w:r w:rsidRPr="00B93FB5">
        <w:t xml:space="preserve">Mason, L. (2018). Ideologues without issues: The polarizing consequences of ideological identities. </w:t>
      </w:r>
      <w:r w:rsidRPr="00B93FB5">
        <w:rPr>
          <w:i/>
          <w:iCs/>
        </w:rPr>
        <w:t>Public Opinion Quarterly, 82</w:t>
      </w:r>
      <w:r w:rsidRPr="00B93FB5">
        <w:t xml:space="preserve">(S1), 866-887. https://academic.oup.com/poq/article/82/S1/866/4951269. </w:t>
      </w:r>
    </w:p>
    <w:p w14:paraId="48E2979C" w14:textId="77777777" w:rsidR="00227FA7" w:rsidRPr="00B93FB5" w:rsidRDefault="00227FA7" w:rsidP="00227FA7">
      <w:pPr>
        <w:ind w:left="720" w:hanging="720"/>
      </w:pPr>
      <w:proofErr w:type="spellStart"/>
      <w:r w:rsidRPr="00B93FB5">
        <w:t>McCright</w:t>
      </w:r>
      <w:proofErr w:type="spellEnd"/>
      <w:r w:rsidRPr="00B93FB5">
        <w:t xml:space="preserve">, A.M., Xiao, C., &amp; Dunlap, R.E. (2014). Political polarization on support for government spending on environmental protection in the USA, 1974-2012. </w:t>
      </w:r>
      <w:r w:rsidRPr="00B93FB5">
        <w:rPr>
          <w:i/>
          <w:iCs/>
        </w:rPr>
        <w:t>Social Science Research 48</w:t>
      </w:r>
      <w:r w:rsidRPr="00B93FB5">
        <w:t xml:space="preserve">(2014), 251-260. http://dx.doi.org/10.1016/j.ssresearch.2014.06.008. </w:t>
      </w:r>
    </w:p>
    <w:p w14:paraId="37DF082D" w14:textId="77777777" w:rsidR="00227FA7" w:rsidRPr="00B93FB5" w:rsidRDefault="00227FA7" w:rsidP="00227FA7">
      <w:pPr>
        <w:ind w:left="720" w:hanging="720"/>
      </w:pPr>
      <w:proofErr w:type="spellStart"/>
      <w:r w:rsidRPr="00B93FB5">
        <w:t>McCright</w:t>
      </w:r>
      <w:proofErr w:type="spellEnd"/>
      <w:r w:rsidRPr="00B93FB5">
        <w:t xml:space="preserve">, A.M. &amp; Dunlap, R.E. (2011). The politicization of climate change and polarization in the American public’s views of global warming, 2001-2010. </w:t>
      </w:r>
      <w:r w:rsidRPr="00B93FB5">
        <w:rPr>
          <w:i/>
          <w:iCs/>
        </w:rPr>
        <w:t>The Sociological Quarterly, 52</w:t>
      </w:r>
      <w:r w:rsidRPr="00B93FB5">
        <w:t>(2), 155-194. DOI: 10.1111/j.1533-8525.2011.</w:t>
      </w:r>
      <w:proofErr w:type="gramStart"/>
      <w:r w:rsidRPr="00B93FB5">
        <w:t>01198.x.</w:t>
      </w:r>
      <w:proofErr w:type="gramEnd"/>
      <w:r w:rsidRPr="00B93FB5">
        <w:t xml:space="preserve"> </w:t>
      </w:r>
    </w:p>
    <w:p w14:paraId="02496B49" w14:textId="77777777" w:rsidR="00227FA7" w:rsidRPr="00B93FB5" w:rsidRDefault="00227FA7" w:rsidP="00227FA7">
      <w:pPr>
        <w:ind w:left="720" w:hanging="720"/>
      </w:pPr>
      <w:r w:rsidRPr="00B93FB5">
        <w:t xml:space="preserve">McKee, S.C. &amp; Teigen, J.M. (2009). Probing the reds and blues: Sectionalism and voter location in the 2000 and 2004 U.S. presidential elections. </w:t>
      </w:r>
      <w:r w:rsidRPr="00B93FB5">
        <w:rPr>
          <w:i/>
          <w:iCs/>
        </w:rPr>
        <w:t>Political Geography 28</w:t>
      </w:r>
      <w:r w:rsidRPr="00B93FB5">
        <w:t xml:space="preserve">, 282-295. </w:t>
      </w:r>
      <w:proofErr w:type="gramStart"/>
      <w:r w:rsidRPr="00B93FB5">
        <w:t>doi:10.1016/j.polgeo</w:t>
      </w:r>
      <w:proofErr w:type="gramEnd"/>
      <w:r w:rsidRPr="00B93FB5">
        <w:t>.2009.11.004.</w:t>
      </w:r>
    </w:p>
    <w:p w14:paraId="55A58731" w14:textId="77777777" w:rsidR="00227FA7" w:rsidRPr="00B93FB5" w:rsidRDefault="00227FA7" w:rsidP="00227FA7">
      <w:pPr>
        <w:ind w:left="720" w:hanging="720"/>
      </w:pPr>
      <w:r w:rsidRPr="00B93FB5">
        <w:t xml:space="preserve">McKeown-Ice, R. &amp; Dendinger, R. (2000). Socio-political-cultural foundations of environmental education. </w:t>
      </w:r>
      <w:r w:rsidRPr="00B93FB5">
        <w:rPr>
          <w:i/>
          <w:iCs/>
        </w:rPr>
        <w:t>The Journal of Environmental Education, 31</w:t>
      </w:r>
      <w:r w:rsidRPr="00B93FB5">
        <w:t xml:space="preserve">(4), 37-45. https://doi.org/10.1080/00958960009598650. </w:t>
      </w:r>
    </w:p>
    <w:p w14:paraId="4A403B11" w14:textId="77777777" w:rsidR="00227FA7" w:rsidRPr="00B93FB5" w:rsidRDefault="00227FA7" w:rsidP="00227FA7">
      <w:pPr>
        <w:ind w:left="720" w:hanging="720"/>
      </w:pPr>
      <w:r w:rsidRPr="00B93FB5">
        <w:t xml:space="preserve">Merkley, E. (2020). Anti-intellectualism, populism, and motivated resistance to expert consensus. </w:t>
      </w:r>
      <w:r w:rsidRPr="00B93FB5">
        <w:rPr>
          <w:i/>
          <w:iCs/>
        </w:rPr>
        <w:t>Public Opinion Quarterly, 84</w:t>
      </w:r>
      <w:r w:rsidRPr="00B93FB5">
        <w:t>(1), 24-48. doi:10.1093/</w:t>
      </w:r>
      <w:proofErr w:type="spellStart"/>
      <w:r w:rsidRPr="00B93FB5">
        <w:t>poq</w:t>
      </w:r>
      <w:proofErr w:type="spellEnd"/>
      <w:r w:rsidRPr="00B93FB5">
        <w:t>/nfz053.</w:t>
      </w:r>
    </w:p>
    <w:p w14:paraId="1D26EAF9" w14:textId="77777777" w:rsidR="00227FA7" w:rsidRPr="00B93FB5" w:rsidRDefault="00227FA7" w:rsidP="00227FA7">
      <w:pPr>
        <w:ind w:left="720" w:hanging="720"/>
      </w:pPr>
      <w:r w:rsidRPr="00B93FB5">
        <w:lastRenderedPageBreak/>
        <w:t xml:space="preserve">Morrill, R., </w:t>
      </w:r>
      <w:proofErr w:type="spellStart"/>
      <w:r w:rsidRPr="00B93FB5">
        <w:t>Knopp</w:t>
      </w:r>
      <w:proofErr w:type="spellEnd"/>
      <w:r w:rsidRPr="00B93FB5">
        <w:t xml:space="preserve">, L., &amp; Brown, M. (2007). Anomalies in red and blue: Exceptionalism in American electoral geography. </w:t>
      </w:r>
      <w:r w:rsidRPr="00B93FB5">
        <w:rPr>
          <w:i/>
          <w:iCs/>
        </w:rPr>
        <w:t>Political Geography, 26</w:t>
      </w:r>
      <w:r w:rsidRPr="00B93FB5">
        <w:t xml:space="preserve">(5), 525-553. https://linkinghub.elsevier.com/retrieve/pii/S0962629807000418. </w:t>
      </w:r>
    </w:p>
    <w:p w14:paraId="7911063B" w14:textId="77777777" w:rsidR="00227FA7" w:rsidRPr="00B93FB5" w:rsidRDefault="00227FA7" w:rsidP="00227FA7">
      <w:pPr>
        <w:ind w:left="720" w:hanging="720"/>
      </w:pPr>
      <w:bookmarkStart w:id="39" w:name="_Hlk131944073"/>
      <w:r w:rsidRPr="00B93FB5">
        <w:t xml:space="preserve">Motta, M. (2018). The dynamics and political implications of anti-intellectualism in the United States. </w:t>
      </w:r>
      <w:r w:rsidRPr="00B93FB5">
        <w:rPr>
          <w:i/>
          <w:iCs/>
        </w:rPr>
        <w:t>American Politics Research, 46</w:t>
      </w:r>
      <w:r w:rsidRPr="00B93FB5">
        <w:t>(3), 465-498. DOI: 10.1177/1532673X17719507.</w:t>
      </w:r>
    </w:p>
    <w:bookmarkEnd w:id="39"/>
    <w:p w14:paraId="1D28F2FB" w14:textId="77777777" w:rsidR="00227FA7" w:rsidRPr="002A3BC2" w:rsidRDefault="00227FA7" w:rsidP="00227FA7">
      <w:pPr>
        <w:ind w:left="720" w:hanging="720"/>
      </w:pPr>
      <w:r w:rsidRPr="00B93FB5">
        <w:t xml:space="preserve">Myers, A.S. (2013). Secular geographical polarization in the American South: The case of Texas, 1996-2010. </w:t>
      </w:r>
      <w:r w:rsidRPr="00B93FB5">
        <w:rPr>
          <w:i/>
          <w:iCs/>
        </w:rPr>
        <w:t>Electoral Studies, 32</w:t>
      </w:r>
      <w:r w:rsidRPr="00B93FB5">
        <w:t xml:space="preserve">(1), 48-62. https://linkinghub.elsevier.com/retrieve/pii/S0261379412001229. </w:t>
      </w:r>
    </w:p>
    <w:p w14:paraId="46FE503D" w14:textId="77777777" w:rsidR="00227FA7" w:rsidRPr="00B93FB5" w:rsidRDefault="00227FA7" w:rsidP="00227FA7">
      <w:pPr>
        <w:ind w:left="720" w:hanging="720"/>
      </w:pPr>
      <w:r w:rsidRPr="00257418">
        <w:t>National Center for Education Statistics (NCES) 2020. Fast Facts: Public school students eligible for free or reduced-price lunch. https://nces.ed.gov/fastfacts/display.asp?id=898. Accessed December 29, 2020.</w:t>
      </w:r>
    </w:p>
    <w:p w14:paraId="255911D3" w14:textId="77777777" w:rsidR="00227FA7" w:rsidRPr="00B93FB5" w:rsidRDefault="00227FA7" w:rsidP="00227FA7">
      <w:pPr>
        <w:ind w:left="720" w:hanging="720"/>
      </w:pPr>
      <w:r w:rsidRPr="00B93FB5">
        <w:t xml:space="preserve">Nisbet, E.C., Cooper, K.E., Garrett, R.K. (2015). The partisan brain: How dissonant science messages lead conservatives and liberals to (dis)trust science. </w:t>
      </w:r>
      <w:r w:rsidRPr="00B93FB5">
        <w:rPr>
          <w:i/>
          <w:iCs/>
        </w:rPr>
        <w:t>The ANNALS of the American Academy of Political and Social Science, 658</w:t>
      </w:r>
      <w:r w:rsidRPr="00B93FB5">
        <w:t xml:space="preserve">(1), 36-66. http://journals.sagepub.com/doi/10.1177/0002716214555474. </w:t>
      </w:r>
    </w:p>
    <w:p w14:paraId="560697EC" w14:textId="77777777" w:rsidR="00E132F1" w:rsidRPr="00E132F1" w:rsidRDefault="00E132F1" w:rsidP="00227FA7">
      <w:pPr>
        <w:ind w:left="720" w:hanging="720"/>
      </w:pPr>
      <w:r w:rsidRPr="00E132F1">
        <w:rPr>
          <w:color w:val="222222"/>
          <w:shd w:val="clear" w:color="auto" w:fill="FFFFFF"/>
        </w:rPr>
        <w:t>Osborne, D., &amp; Sibley, C. G. (2020). Does openness to experience predict changes in conservatism? A nine-wave longitudinal investigation into the personality roots to ideology. </w:t>
      </w:r>
      <w:r w:rsidRPr="00E132F1">
        <w:rPr>
          <w:i/>
          <w:iCs/>
          <w:color w:val="222222"/>
          <w:shd w:val="clear" w:color="auto" w:fill="FFFFFF"/>
        </w:rPr>
        <w:t>Journal of Research in Personality</w:t>
      </w:r>
      <w:r w:rsidRPr="00E132F1">
        <w:rPr>
          <w:color w:val="222222"/>
          <w:shd w:val="clear" w:color="auto" w:fill="FFFFFF"/>
        </w:rPr>
        <w:t>, </w:t>
      </w:r>
      <w:r w:rsidRPr="00E132F1">
        <w:rPr>
          <w:i/>
          <w:iCs/>
          <w:color w:val="222222"/>
          <w:shd w:val="clear" w:color="auto" w:fill="FFFFFF"/>
        </w:rPr>
        <w:t>87</w:t>
      </w:r>
      <w:r w:rsidRPr="00E132F1">
        <w:rPr>
          <w:color w:val="222222"/>
          <w:shd w:val="clear" w:color="auto" w:fill="FFFFFF"/>
        </w:rPr>
        <w:t>, 103979.</w:t>
      </w:r>
      <w:r w:rsidRPr="00E132F1">
        <w:t xml:space="preserve"> </w:t>
      </w:r>
    </w:p>
    <w:p w14:paraId="650D8113" w14:textId="17EF651C" w:rsidR="00227FA7" w:rsidRPr="00B93FB5" w:rsidRDefault="00227FA7" w:rsidP="00227FA7">
      <w:pPr>
        <w:ind w:left="720" w:hanging="720"/>
      </w:pPr>
      <w:r w:rsidRPr="00B93FB5">
        <w:t xml:space="preserve">Parker, K., Graf, N., &amp; </w:t>
      </w:r>
      <w:proofErr w:type="spellStart"/>
      <w:r w:rsidRPr="00B93FB5">
        <w:t>Igielnik</w:t>
      </w:r>
      <w:proofErr w:type="spellEnd"/>
      <w:r w:rsidRPr="00B93FB5">
        <w:t xml:space="preserve">, R. (2019, January 7). Generation Z looks a lot like millennials on key social and political issues. </w:t>
      </w:r>
      <w:r w:rsidRPr="00B93FB5">
        <w:rPr>
          <w:i/>
          <w:iCs/>
        </w:rPr>
        <w:t>Pew Research Center</w:t>
      </w:r>
      <w:r w:rsidRPr="00B93FB5">
        <w:t xml:space="preserve">. Retrieved from https://www.pewsocialtrends.org. </w:t>
      </w:r>
    </w:p>
    <w:p w14:paraId="521DA34C" w14:textId="77777777" w:rsidR="00227FA7" w:rsidRPr="00B93FB5" w:rsidRDefault="00227FA7" w:rsidP="00227FA7">
      <w:pPr>
        <w:ind w:left="720" w:hanging="720"/>
      </w:pPr>
      <w:proofErr w:type="spellStart"/>
      <w:r w:rsidRPr="00B93FB5">
        <w:t>Pettifor</w:t>
      </w:r>
      <w:proofErr w:type="spellEnd"/>
      <w:r w:rsidRPr="00B93FB5">
        <w:t xml:space="preserve">, H. (2012). Do parents affect the early political prioritization of nature in their children? </w:t>
      </w:r>
      <w:r w:rsidRPr="00B93FB5">
        <w:rPr>
          <w:i/>
          <w:iCs/>
        </w:rPr>
        <w:t>ISER Working Paper Series, No. 2012-11</w:t>
      </w:r>
      <w:r w:rsidRPr="00B93FB5">
        <w:t xml:space="preserve">, University of Essex, Institute of Social and Economic Research (ISER), Colchester. </w:t>
      </w:r>
    </w:p>
    <w:p w14:paraId="560E7BF1" w14:textId="77777777" w:rsidR="00227FA7" w:rsidRPr="00B93FB5" w:rsidRDefault="00227FA7" w:rsidP="00227FA7">
      <w:pPr>
        <w:ind w:left="720" w:hanging="720"/>
      </w:pPr>
      <w:r w:rsidRPr="00B93FB5">
        <w:rPr>
          <w:shd w:val="clear" w:color="auto" w:fill="FFFFFF"/>
        </w:rPr>
        <w:t>Pew Research Center (2020). </w:t>
      </w:r>
      <w:r w:rsidRPr="00B93FB5">
        <w:rPr>
          <w:i/>
          <w:iCs/>
          <w:shd w:val="clear" w:color="auto" w:fill="FFFFFF"/>
        </w:rPr>
        <w:t>As Economic Concerns Recede, Environmental Protection Rises on the Public's Policy Agenda</w:t>
      </w:r>
      <w:r w:rsidRPr="00B93FB5">
        <w:rPr>
          <w:shd w:val="clear" w:color="auto" w:fill="FFFFFF"/>
        </w:rPr>
        <w:t>. Washington, DC: Pew Research Center. Available online at: https://www.pewresearch.org/politics/2020/02/13/as-economic-concerns-recede-environmental-protection-rises</w:t>
      </w:r>
      <w:r>
        <w:rPr>
          <w:shd w:val="clear" w:color="auto" w:fill="FFFFFF"/>
        </w:rPr>
        <w:t>-on-the-publics-policy-agenda/ Accessed March 29, 2021</w:t>
      </w:r>
      <w:r w:rsidRPr="00B93FB5">
        <w:rPr>
          <w:shd w:val="clear" w:color="auto" w:fill="FFFFFF"/>
        </w:rPr>
        <w:t>.</w:t>
      </w:r>
    </w:p>
    <w:p w14:paraId="04B5A485" w14:textId="77777777" w:rsidR="00227FA7" w:rsidRPr="00B93FB5" w:rsidRDefault="00227FA7" w:rsidP="00227FA7">
      <w:pPr>
        <w:ind w:left="720" w:hanging="720"/>
      </w:pPr>
      <w:r w:rsidRPr="00B93FB5">
        <w:t xml:space="preserve">Pew Research Center (2021). </w:t>
      </w:r>
      <w:r w:rsidRPr="00B93FB5">
        <w:rPr>
          <w:i/>
          <w:iCs/>
        </w:rPr>
        <w:t xml:space="preserve">Beyond red vs. blue: The political typology. </w:t>
      </w:r>
      <w:r w:rsidRPr="00B93FB5">
        <w:t>Washington, DC: Pew Research Center. Available online at: https://www.pewresearch.org/politics/2021/11/09/beyond-red-vs-blue-the-political-typology-2/.</w:t>
      </w:r>
    </w:p>
    <w:p w14:paraId="47753F3C" w14:textId="77777777" w:rsidR="00227FA7" w:rsidRPr="00D756FC" w:rsidRDefault="00227FA7" w:rsidP="00227FA7">
      <w:pPr>
        <w:ind w:left="720" w:hanging="720"/>
        <w:rPr>
          <w:shd w:val="clear" w:color="auto" w:fill="FFFFFF"/>
        </w:rPr>
      </w:pPr>
      <w:r w:rsidRPr="00D756FC">
        <w:rPr>
          <w:shd w:val="clear" w:color="auto" w:fill="FFFFFF"/>
        </w:rPr>
        <w:t xml:space="preserve">Piaget, J. (1972) </w:t>
      </w:r>
      <w:r w:rsidRPr="00D756FC">
        <w:rPr>
          <w:i/>
          <w:shd w:val="clear" w:color="auto" w:fill="FFFFFF"/>
        </w:rPr>
        <w:t xml:space="preserve">The Psychology of Intelligence. </w:t>
      </w:r>
      <w:r w:rsidRPr="00D756FC">
        <w:rPr>
          <w:shd w:val="clear" w:color="auto" w:fill="FFFFFF"/>
        </w:rPr>
        <w:t>Totowa: Littlefield.</w:t>
      </w:r>
    </w:p>
    <w:p w14:paraId="7807AE1F" w14:textId="77777777" w:rsidR="00227FA7" w:rsidRPr="00D756FC" w:rsidRDefault="00227FA7" w:rsidP="00227FA7">
      <w:pPr>
        <w:ind w:left="720" w:hanging="720"/>
        <w:rPr>
          <w:shd w:val="clear" w:color="auto" w:fill="FFFFFF"/>
        </w:rPr>
      </w:pPr>
      <w:r w:rsidRPr="00D756FC">
        <w:rPr>
          <w:shd w:val="clear" w:color="auto" w:fill="FFFFFF"/>
        </w:rPr>
        <w:t xml:space="preserve">Pichler, F. (2011). Cosmopolitanism in a global perspective: An international comparison of open-minded orientations and identity in relation to globalization. </w:t>
      </w:r>
      <w:r w:rsidRPr="00D756FC">
        <w:rPr>
          <w:i/>
          <w:iCs/>
          <w:shd w:val="clear" w:color="auto" w:fill="FFFFFF"/>
        </w:rPr>
        <w:t>International Sociology, 27</w:t>
      </w:r>
      <w:r w:rsidRPr="00D756FC">
        <w:rPr>
          <w:shd w:val="clear" w:color="auto" w:fill="FFFFFF"/>
        </w:rPr>
        <w:t>(1), 21-50. DOI: 10.1177/0268580911422980</w:t>
      </w:r>
    </w:p>
    <w:p w14:paraId="59AFC67C" w14:textId="77777777" w:rsidR="00227FA7" w:rsidRPr="00CB3341" w:rsidRDefault="00227FA7" w:rsidP="00227FA7">
      <w:pPr>
        <w:autoSpaceDE w:val="0"/>
        <w:autoSpaceDN w:val="0"/>
        <w:adjustRightInd w:val="0"/>
        <w:ind w:left="720" w:hanging="720"/>
      </w:pPr>
      <w:r>
        <w:t xml:space="preserve">Powell, R.B., Stern, M.J., &amp; </w:t>
      </w:r>
      <w:proofErr w:type="spellStart"/>
      <w:r>
        <w:t>Frensley</w:t>
      </w:r>
      <w:proofErr w:type="spellEnd"/>
      <w:r>
        <w:t xml:space="preserve"> (2022). </w:t>
      </w:r>
      <w:r w:rsidRPr="00CB3341">
        <w:rPr>
          <w:rFonts w:eastAsiaTheme="minorHAnsi"/>
          <w:bCs/>
        </w:rPr>
        <w:t>Which approaches are associated with better outcomes? Evidence</w:t>
      </w:r>
      <w:r>
        <w:rPr>
          <w:rFonts w:eastAsiaTheme="minorHAnsi"/>
          <w:bCs/>
        </w:rPr>
        <w:t xml:space="preserve"> </w:t>
      </w:r>
      <w:r w:rsidRPr="00CB3341">
        <w:rPr>
          <w:rFonts w:eastAsiaTheme="minorHAnsi"/>
          <w:bCs/>
        </w:rPr>
        <w:t>from a national study of environmental education field trip</w:t>
      </w:r>
      <w:r>
        <w:rPr>
          <w:rFonts w:eastAsiaTheme="minorHAnsi"/>
          <w:bCs/>
        </w:rPr>
        <w:t xml:space="preserve"> </w:t>
      </w:r>
      <w:r w:rsidRPr="00CB3341">
        <w:rPr>
          <w:rFonts w:eastAsiaTheme="minorHAnsi"/>
          <w:bCs/>
        </w:rPr>
        <w:t xml:space="preserve">programs for adolescent youth in the United States. </w:t>
      </w:r>
      <w:r w:rsidRPr="00CB3341">
        <w:rPr>
          <w:rFonts w:eastAsiaTheme="minorHAnsi"/>
          <w:bCs/>
          <w:i/>
        </w:rPr>
        <w:t xml:space="preserve">Environmental Education Research. </w:t>
      </w:r>
      <w:r w:rsidRPr="00CB3341">
        <w:rPr>
          <w:rFonts w:eastAsiaTheme="minorHAnsi"/>
        </w:rPr>
        <w:t>10.1080/13504622.2022.2145270</w:t>
      </w:r>
    </w:p>
    <w:p w14:paraId="475E5A30" w14:textId="77777777" w:rsidR="00227FA7" w:rsidRPr="00B93FB5" w:rsidRDefault="00227FA7" w:rsidP="00227FA7">
      <w:pPr>
        <w:ind w:left="720" w:hanging="720"/>
      </w:pPr>
      <w:r w:rsidRPr="00B93FB5">
        <w:t xml:space="preserve">Powell, R.B., Stern, M.J., </w:t>
      </w:r>
      <w:proofErr w:type="spellStart"/>
      <w:r w:rsidRPr="00B93FB5">
        <w:t>Frensley</w:t>
      </w:r>
      <w:proofErr w:type="spellEnd"/>
      <w:r w:rsidRPr="00B93FB5">
        <w:t xml:space="preserve">, B.T., &amp; Moore, D. (2019). Identifying and developing crosscutting environmental education outcomes for adolescents in the twenty-first century (EE21). </w:t>
      </w:r>
      <w:r w:rsidRPr="00B93FB5">
        <w:rPr>
          <w:i/>
          <w:iCs/>
        </w:rPr>
        <w:t>Environmental Education Research.</w:t>
      </w:r>
      <w:r w:rsidRPr="00B93FB5">
        <w:t xml:space="preserve"> https://doi.org/10.1080/13504622.2019.1607259</w:t>
      </w:r>
    </w:p>
    <w:p w14:paraId="09B6C6CC" w14:textId="77777777" w:rsidR="00227FA7" w:rsidRPr="00B93FB5" w:rsidRDefault="00227FA7" w:rsidP="00227FA7">
      <w:pPr>
        <w:ind w:left="720" w:hanging="720"/>
      </w:pPr>
      <w:proofErr w:type="spellStart"/>
      <w:r w:rsidRPr="00B93FB5">
        <w:lastRenderedPageBreak/>
        <w:t>Rohla</w:t>
      </w:r>
      <w:proofErr w:type="spellEnd"/>
      <w:r w:rsidRPr="00B93FB5">
        <w:t xml:space="preserve">, R., Johnston, R., Jones, K., &amp; Manley, D. (2018). Spatial scale and the geographical polarization of the American electorate. </w:t>
      </w:r>
      <w:r w:rsidRPr="00B93FB5">
        <w:rPr>
          <w:i/>
          <w:iCs/>
        </w:rPr>
        <w:t>Political Geography, 65</w:t>
      </w:r>
      <w:r w:rsidRPr="00B93FB5">
        <w:t xml:space="preserve">, 117-122. https://linkinghub.elsevier.com/retrieve/pii/S096262981730238X. </w:t>
      </w:r>
    </w:p>
    <w:p w14:paraId="43F52E0A" w14:textId="77777777" w:rsidR="00227FA7" w:rsidRPr="00B93FB5" w:rsidRDefault="00227FA7" w:rsidP="00227FA7">
      <w:pPr>
        <w:ind w:left="720" w:hanging="720"/>
      </w:pPr>
      <w:r w:rsidRPr="00B93FB5">
        <w:t xml:space="preserve">Rowe, S.M. &amp; </w:t>
      </w:r>
      <w:proofErr w:type="spellStart"/>
      <w:r w:rsidRPr="00B93FB5">
        <w:t>Wertsch</w:t>
      </w:r>
      <w:proofErr w:type="spellEnd"/>
      <w:r w:rsidRPr="00B93FB5">
        <w:t xml:space="preserve">, J.V. (2002). </w:t>
      </w:r>
      <w:proofErr w:type="spellStart"/>
      <w:r w:rsidRPr="00B93FB5">
        <w:t>Vygotky’s</w:t>
      </w:r>
      <w:proofErr w:type="spellEnd"/>
      <w:r w:rsidRPr="00B93FB5">
        <w:t xml:space="preserve"> model of cognitive development. In: U. Goswami (ed.), </w:t>
      </w:r>
      <w:r w:rsidRPr="00B93FB5">
        <w:rPr>
          <w:i/>
          <w:iCs/>
        </w:rPr>
        <w:t>Blackwell handbook of childhood cognitive development</w:t>
      </w:r>
      <w:r w:rsidRPr="00B93FB5">
        <w:t xml:space="preserve">, pp. 538-554. Blackwell Publishers. </w:t>
      </w:r>
    </w:p>
    <w:p w14:paraId="43F1A88C" w14:textId="0ADA4631" w:rsidR="004B4D5B" w:rsidRDefault="004B4D5B" w:rsidP="00227FA7">
      <w:pPr>
        <w:ind w:left="720" w:hanging="720"/>
      </w:pPr>
      <w:r>
        <w:t xml:space="preserve">Ruggiero, K. (2016). </w:t>
      </w:r>
      <w:r w:rsidRPr="004B4D5B">
        <w:rPr>
          <w:i/>
        </w:rPr>
        <w:t>A criteria-based evaluation of environmental literacy plans in the United States</w:t>
      </w:r>
      <w:r>
        <w:t>. Knoxville, TN: University of Tennessee.</w:t>
      </w:r>
      <w:r w:rsidRPr="00B93FB5">
        <w:t xml:space="preserve"> </w:t>
      </w:r>
    </w:p>
    <w:p w14:paraId="2FF41CBC" w14:textId="67DA7CC6" w:rsidR="00227FA7" w:rsidRPr="00B93FB5" w:rsidRDefault="00227FA7" w:rsidP="00227FA7">
      <w:pPr>
        <w:ind w:left="720" w:hanging="720"/>
      </w:pPr>
      <w:proofErr w:type="spellStart"/>
      <w:r w:rsidRPr="00B93FB5">
        <w:t>Schild</w:t>
      </w:r>
      <w:proofErr w:type="spellEnd"/>
      <w:r w:rsidRPr="00B93FB5">
        <w:t xml:space="preserve">, R. (2016). Environmental citizenship: What can political theory contribute to environmental education practice? </w:t>
      </w:r>
      <w:r w:rsidRPr="00B93FB5">
        <w:rPr>
          <w:i/>
          <w:iCs/>
        </w:rPr>
        <w:t>The Journal of Environmental Education, 47</w:t>
      </w:r>
      <w:r w:rsidRPr="00B93FB5">
        <w:t xml:space="preserve">(1), 19-34. https://doi.org/10.1080/00958964.2015.1092417. </w:t>
      </w:r>
    </w:p>
    <w:p w14:paraId="42FF2FBD" w14:textId="77777777" w:rsidR="00227FA7" w:rsidRPr="00B93FB5" w:rsidRDefault="00227FA7" w:rsidP="00227FA7">
      <w:pPr>
        <w:ind w:left="720" w:hanging="720"/>
      </w:pPr>
      <w:r w:rsidRPr="001B1792">
        <w:t xml:space="preserve">Sears, D.O. &amp; Valentino, N.A. (1997). </w:t>
      </w:r>
      <w:r w:rsidRPr="00B93FB5">
        <w:t xml:space="preserve">Politics matters: political events as catalysts for preadult socialization. </w:t>
      </w:r>
      <w:r w:rsidRPr="00B93FB5">
        <w:rPr>
          <w:i/>
          <w:iCs/>
        </w:rPr>
        <w:t>American Political Science Review, 91</w:t>
      </w:r>
      <w:r w:rsidRPr="00B93FB5">
        <w:t xml:space="preserve">, 45-65. </w:t>
      </w:r>
    </w:p>
    <w:p w14:paraId="52D73E86" w14:textId="77777777" w:rsidR="00227FA7" w:rsidRPr="00B93FB5" w:rsidRDefault="00227FA7" w:rsidP="00227FA7">
      <w:pPr>
        <w:ind w:left="720" w:hanging="720"/>
      </w:pPr>
      <w:r w:rsidRPr="00B93FB5">
        <w:t xml:space="preserve">Slimani, M., Lange, J., &amp; </w:t>
      </w:r>
      <w:proofErr w:type="spellStart"/>
      <w:r w:rsidRPr="00B93FB5">
        <w:t>Hakansson</w:t>
      </w:r>
      <w:proofErr w:type="spellEnd"/>
      <w:r w:rsidRPr="00B93FB5">
        <w:t xml:space="preserve">, M. (2021). The political dimension in environmental education curricula: Towards an integrative conceptual and analytical framework. </w:t>
      </w:r>
      <w:r w:rsidRPr="00B93FB5">
        <w:rPr>
          <w:i/>
          <w:iCs/>
        </w:rPr>
        <w:t>Environmental Education Research, 27</w:t>
      </w:r>
      <w:r w:rsidRPr="00B93FB5">
        <w:t>(3), 354-365. https://doi.org/10.1080/13504622.2021.1879023</w:t>
      </w:r>
    </w:p>
    <w:p w14:paraId="268684DB" w14:textId="77777777" w:rsidR="00227FA7" w:rsidRPr="00B93FB5" w:rsidRDefault="00227FA7" w:rsidP="00227FA7">
      <w:pPr>
        <w:ind w:left="720" w:hanging="720"/>
      </w:pPr>
      <w:r w:rsidRPr="00B93FB5">
        <w:t xml:space="preserve">Stern, M.J. (2018). </w:t>
      </w:r>
      <w:r w:rsidRPr="00B93FB5">
        <w:rPr>
          <w:i/>
          <w:iCs/>
        </w:rPr>
        <w:t>Social science theory for environmental sustainability</w:t>
      </w:r>
      <w:r w:rsidRPr="00B93FB5">
        <w:t xml:space="preserve">. Oxford University Press. </w:t>
      </w:r>
    </w:p>
    <w:p w14:paraId="11A387CC" w14:textId="77777777" w:rsidR="00227FA7" w:rsidRPr="00B93FB5" w:rsidRDefault="00227FA7" w:rsidP="00227FA7">
      <w:pPr>
        <w:ind w:left="720" w:hanging="720"/>
      </w:pPr>
      <w:r w:rsidRPr="00B93FB5">
        <w:t xml:space="preserve">Stern, M. J., Powell, R. B., &amp; Hill, D. (2014). Environmental education program evaluation in the new millennium: what do we measure and what have we learned? </w:t>
      </w:r>
      <w:r w:rsidRPr="00B93FB5">
        <w:rPr>
          <w:i/>
          <w:iCs/>
        </w:rPr>
        <w:t>Environmental Education Research, 20</w:t>
      </w:r>
      <w:r w:rsidRPr="00B93FB5">
        <w:t>(5), 581-611. https://doi.org/10.1080/13504622.2013.838749.</w:t>
      </w:r>
    </w:p>
    <w:p w14:paraId="499D6677" w14:textId="77777777" w:rsidR="00227FA7" w:rsidRPr="00B93FB5" w:rsidRDefault="00227FA7" w:rsidP="00227FA7">
      <w:pPr>
        <w:ind w:left="720" w:hanging="720"/>
      </w:pPr>
      <w:r w:rsidRPr="00B93FB5">
        <w:t xml:space="preserve">Stern, M.J. &amp; Powell, R.B., &amp; </w:t>
      </w:r>
      <w:proofErr w:type="spellStart"/>
      <w:r w:rsidRPr="00B93FB5">
        <w:t>Frensley</w:t>
      </w:r>
      <w:proofErr w:type="spellEnd"/>
      <w:r w:rsidRPr="00B93FB5">
        <w:t>, B.T. (202</w:t>
      </w:r>
      <w:r>
        <w:t>2</w:t>
      </w:r>
      <w:r w:rsidRPr="00B93FB5">
        <w:t xml:space="preserve">). Environmental education, age, race, and socioeconomic class: An exploration of differential impacts of field trips on adolescent youth in the United States. </w:t>
      </w:r>
      <w:r w:rsidRPr="00B93FB5">
        <w:rPr>
          <w:i/>
          <w:iCs/>
        </w:rPr>
        <w:t>Environmental Education Research</w:t>
      </w:r>
      <w:r w:rsidRPr="00B93FB5">
        <w:t>. DOI: 10.1080/13504622.2021.1990865.</w:t>
      </w:r>
    </w:p>
    <w:p w14:paraId="3670B667" w14:textId="77777777" w:rsidR="00227FA7" w:rsidRPr="00B93FB5" w:rsidRDefault="00227FA7" w:rsidP="00227FA7">
      <w:pPr>
        <w:ind w:left="720" w:hanging="720"/>
      </w:pPr>
      <w:proofErr w:type="spellStart"/>
      <w:r w:rsidRPr="00B93FB5">
        <w:t>Sussell</w:t>
      </w:r>
      <w:proofErr w:type="spellEnd"/>
      <w:r w:rsidRPr="00B93FB5">
        <w:t xml:space="preserve">, J. (2013). New support for the big sort hypothesis: An assessment of partisan geographic sorting in California, 1992-2010. </w:t>
      </w:r>
      <w:r w:rsidRPr="00B93FB5">
        <w:rPr>
          <w:i/>
          <w:iCs/>
        </w:rPr>
        <w:t>PS: Political Science &amp; Politics, 50</w:t>
      </w:r>
      <w:r w:rsidRPr="00B93FB5">
        <w:t>(4), 768-773. https://doi.org/10.1017/S1049096513001042.</w:t>
      </w:r>
    </w:p>
    <w:p w14:paraId="1D1258B9" w14:textId="77777777" w:rsidR="00227FA7" w:rsidRPr="00B93FB5" w:rsidRDefault="00227FA7" w:rsidP="00227FA7">
      <w:pPr>
        <w:ind w:left="720" w:hanging="720"/>
      </w:pPr>
      <w:r w:rsidRPr="00B93FB5">
        <w:t xml:space="preserve">Taber, C.S., &amp; Lodge, M. (2006). Motivated skepticism in the evaluation of political beliefs. </w:t>
      </w:r>
      <w:r w:rsidRPr="00B93FB5">
        <w:rPr>
          <w:i/>
          <w:iCs/>
        </w:rPr>
        <w:t>American Journal of Political Science, 50</w:t>
      </w:r>
      <w:r w:rsidRPr="00B93FB5">
        <w:t xml:space="preserve">(3), 755-769. </w:t>
      </w:r>
    </w:p>
    <w:p w14:paraId="63E279BC" w14:textId="77777777" w:rsidR="00227FA7" w:rsidRPr="00B93FB5" w:rsidRDefault="00227FA7" w:rsidP="00227FA7">
      <w:pPr>
        <w:ind w:left="720" w:hanging="720"/>
      </w:pPr>
      <w:r w:rsidRPr="00B93FB5">
        <w:t xml:space="preserve">Tajfel, H., &amp; Turner, J. (1979). An Integrative Theory of Intergroup Conflict. In W.G. Austin &amp; S. </w:t>
      </w:r>
      <w:proofErr w:type="spellStart"/>
      <w:r w:rsidRPr="00B93FB5">
        <w:t>Worchel</w:t>
      </w:r>
      <w:proofErr w:type="spellEnd"/>
      <w:r w:rsidRPr="00B93FB5">
        <w:t xml:space="preserve"> (Eds.), </w:t>
      </w:r>
      <w:r w:rsidRPr="00B93FB5">
        <w:rPr>
          <w:i/>
          <w:iCs/>
        </w:rPr>
        <w:t>The Social Psychology of Intergroup Relations</w:t>
      </w:r>
      <w:r w:rsidRPr="00B93FB5">
        <w:t>, (pp. 33–37). Monterey, CA: Brooks/Cole.</w:t>
      </w:r>
    </w:p>
    <w:p w14:paraId="02651AE9" w14:textId="77777777" w:rsidR="00227FA7" w:rsidRPr="00B93FB5" w:rsidRDefault="00227FA7" w:rsidP="00227FA7">
      <w:pPr>
        <w:ind w:left="720" w:hanging="720"/>
      </w:pPr>
      <w:proofErr w:type="spellStart"/>
      <w:r w:rsidRPr="00B93FB5">
        <w:t>Tedin</w:t>
      </w:r>
      <w:proofErr w:type="spellEnd"/>
      <w:r w:rsidRPr="00B93FB5">
        <w:t xml:space="preserve">, K.L. (1980). Assessing peer and parent influence on adolescent political attitudes. </w:t>
      </w:r>
      <w:r w:rsidRPr="00B93FB5">
        <w:rPr>
          <w:i/>
          <w:iCs/>
        </w:rPr>
        <w:t>American Journal of Political Science, 24</w:t>
      </w:r>
      <w:r w:rsidRPr="00B93FB5">
        <w:t xml:space="preserve">(1), 136-154. </w:t>
      </w:r>
    </w:p>
    <w:p w14:paraId="7BC6088D" w14:textId="77777777" w:rsidR="00227FA7" w:rsidRPr="00B93FB5" w:rsidRDefault="00227FA7" w:rsidP="00227FA7">
      <w:pPr>
        <w:ind w:left="720" w:hanging="720"/>
      </w:pPr>
      <w:r w:rsidRPr="00B93FB5">
        <w:t xml:space="preserve">The New York Times. (2017, August 9). </w:t>
      </w:r>
      <w:r w:rsidRPr="00B93FB5">
        <w:rPr>
          <w:i/>
          <w:iCs/>
        </w:rPr>
        <w:t>2016 Presidential Election Returns.</w:t>
      </w:r>
      <w:r w:rsidRPr="00B93FB5">
        <w:t xml:space="preserve"> Retrieved from: https://www.nytimes.com/elections/2016/results/president. </w:t>
      </w:r>
    </w:p>
    <w:p w14:paraId="52A99B3C" w14:textId="75FF7429" w:rsidR="00734F41" w:rsidRDefault="00734F41" w:rsidP="00227FA7">
      <w:pPr>
        <w:ind w:left="720" w:hanging="720"/>
      </w:pPr>
      <w:r>
        <w:t xml:space="preserve">Thorpe, E.G., Stern, M. J., Powell, R. B., &amp; Hemby T. L. (2023). </w:t>
      </w:r>
      <w:r w:rsidRPr="00C71132">
        <w:rPr>
          <w:rFonts w:eastAsia="Calibri"/>
          <w:bCs/>
          <w:sz w:val="22"/>
          <w:szCs w:val="22"/>
        </w:rPr>
        <w:t>Does environmental education work differently across sociopolitical contexts in the United States? PART II. Examining pedagogy in school field trip programs for early adolescent youth across political contexts</w:t>
      </w:r>
      <w:r w:rsidRPr="00C71132">
        <w:rPr>
          <w:bCs/>
          <w:sz w:val="22"/>
          <w:szCs w:val="22"/>
        </w:rPr>
        <w:t xml:space="preserve">. </w:t>
      </w:r>
      <w:r w:rsidRPr="00C71132">
        <w:rPr>
          <w:bCs/>
          <w:i/>
          <w:sz w:val="22"/>
          <w:szCs w:val="22"/>
        </w:rPr>
        <w:t>Environmental Education Research.</w:t>
      </w:r>
    </w:p>
    <w:p w14:paraId="7742F3FF" w14:textId="3DE556E1" w:rsidR="00227FA7" w:rsidRPr="00B93FB5" w:rsidRDefault="00227FA7" w:rsidP="00227FA7">
      <w:pPr>
        <w:ind w:left="720" w:hanging="720"/>
      </w:pPr>
      <w:r w:rsidRPr="00B93FB5">
        <w:t>UNESCO</w:t>
      </w:r>
      <w:r>
        <w:t xml:space="preserve"> </w:t>
      </w:r>
      <w:r w:rsidRPr="00B93FB5">
        <w:t xml:space="preserve">(1977). The Tbilisi Declaration. In </w:t>
      </w:r>
      <w:r w:rsidRPr="00B93FB5">
        <w:rPr>
          <w:i/>
          <w:iCs/>
        </w:rPr>
        <w:t>Intergovernmental Conference on</w:t>
      </w:r>
      <w:r w:rsidRPr="00B93FB5">
        <w:t xml:space="preserve"> </w:t>
      </w:r>
      <w:r w:rsidRPr="00B93FB5">
        <w:rPr>
          <w:i/>
          <w:iCs/>
        </w:rPr>
        <w:t xml:space="preserve">Environmental Education </w:t>
      </w:r>
      <w:r w:rsidRPr="00B93FB5">
        <w:t>(pp. 14–26).</w:t>
      </w:r>
    </w:p>
    <w:p w14:paraId="5E976842" w14:textId="77777777" w:rsidR="00227FA7" w:rsidRPr="00B93FB5" w:rsidRDefault="00227FA7" w:rsidP="00227FA7">
      <w:pPr>
        <w:ind w:left="720" w:hanging="720"/>
      </w:pPr>
      <w:r w:rsidRPr="00B93FB5">
        <w:t>U.S. Department of Agriculture (USDA) Food and Nutrition Service. 2020. Program data overview. https://www.fns.usda.gov/pd/overview. Updated 8/21/2020. Accessed December 29, 2020.</w:t>
      </w:r>
    </w:p>
    <w:p w14:paraId="71879818" w14:textId="77777777" w:rsidR="00227FA7" w:rsidRPr="00B93FB5" w:rsidRDefault="00227FA7" w:rsidP="00227FA7">
      <w:pPr>
        <w:ind w:left="720" w:hanging="720"/>
      </w:pPr>
      <w:r w:rsidRPr="00E05B84">
        <w:lastRenderedPageBreak/>
        <w:t xml:space="preserve">Van </w:t>
      </w:r>
      <w:proofErr w:type="spellStart"/>
      <w:r w:rsidRPr="00E05B84">
        <w:t>Poeck</w:t>
      </w:r>
      <w:proofErr w:type="spellEnd"/>
      <w:r w:rsidRPr="00E05B84">
        <w:t xml:space="preserve">, K., </w:t>
      </w:r>
      <w:proofErr w:type="spellStart"/>
      <w:r w:rsidRPr="00E05B84">
        <w:t>Östman</w:t>
      </w:r>
      <w:proofErr w:type="spellEnd"/>
      <w:r w:rsidRPr="00E05B84">
        <w:t xml:space="preserve">, L. (2018). </w:t>
      </w:r>
      <w:r w:rsidRPr="00B93FB5">
        <w:t xml:space="preserve">Creating space for ‘the political’ in environmental and sustainability education practice: a Political Move Analysis of educators’ actions. </w:t>
      </w:r>
      <w:r w:rsidRPr="00B93FB5">
        <w:rPr>
          <w:i/>
          <w:iCs/>
        </w:rPr>
        <w:t>Environmental Education Research, 24</w:t>
      </w:r>
      <w:r w:rsidRPr="00B93FB5">
        <w:t>(9), 1406-1423. http://dx.doi.org/10.1080/13504622.2017.1306835</w:t>
      </w:r>
    </w:p>
    <w:p w14:paraId="79E2D50A" w14:textId="77777777" w:rsidR="00227FA7" w:rsidRPr="005D3CF6" w:rsidRDefault="00227FA7" w:rsidP="00227FA7">
      <w:pPr>
        <w:ind w:left="720" w:hanging="720"/>
        <w:rPr>
          <w:shd w:val="clear" w:color="auto" w:fill="FFFFFF"/>
        </w:rPr>
      </w:pPr>
      <w:r w:rsidRPr="005D3CF6">
        <w:rPr>
          <w:shd w:val="clear" w:color="auto" w:fill="FFFFFF"/>
        </w:rPr>
        <w:t xml:space="preserve">Walsh, E. M., &amp; </w:t>
      </w:r>
      <w:proofErr w:type="spellStart"/>
      <w:r w:rsidRPr="005D3CF6">
        <w:rPr>
          <w:shd w:val="clear" w:color="auto" w:fill="FFFFFF"/>
        </w:rPr>
        <w:t>Tsurusaki</w:t>
      </w:r>
      <w:proofErr w:type="spellEnd"/>
      <w:r w:rsidRPr="005D3CF6">
        <w:rPr>
          <w:shd w:val="clear" w:color="auto" w:fill="FFFFFF"/>
        </w:rPr>
        <w:t>, B. K. (2018). “Thank you for being Republican”: Negotiating science and political identities in climate change learning. </w:t>
      </w:r>
      <w:r w:rsidRPr="005D3CF6">
        <w:rPr>
          <w:i/>
          <w:iCs/>
          <w:shd w:val="clear" w:color="auto" w:fill="FFFFFF"/>
        </w:rPr>
        <w:t>Journal of the Learning Sciences</w:t>
      </w:r>
      <w:r w:rsidRPr="005D3CF6">
        <w:rPr>
          <w:shd w:val="clear" w:color="auto" w:fill="FFFFFF"/>
        </w:rPr>
        <w:t>, </w:t>
      </w:r>
      <w:r w:rsidRPr="005D3CF6">
        <w:rPr>
          <w:i/>
          <w:iCs/>
          <w:shd w:val="clear" w:color="auto" w:fill="FFFFFF"/>
        </w:rPr>
        <w:t>27</w:t>
      </w:r>
      <w:r w:rsidRPr="005D3CF6">
        <w:rPr>
          <w:shd w:val="clear" w:color="auto" w:fill="FFFFFF"/>
        </w:rPr>
        <w:t>(1), 8-48.</w:t>
      </w:r>
    </w:p>
    <w:p w14:paraId="0E13D872" w14:textId="77777777" w:rsidR="00227FA7" w:rsidRPr="00B93FB5" w:rsidRDefault="00227FA7" w:rsidP="00227FA7">
      <w:pPr>
        <w:ind w:left="720" w:hanging="720"/>
      </w:pPr>
      <w:proofErr w:type="spellStart"/>
      <w:r w:rsidRPr="00B93FB5">
        <w:t>Woehr</w:t>
      </w:r>
      <w:proofErr w:type="spellEnd"/>
      <w:r w:rsidRPr="00B93FB5">
        <w:t xml:space="preserve">, D. J., </w:t>
      </w:r>
      <w:proofErr w:type="spellStart"/>
      <w:r w:rsidRPr="00B93FB5">
        <w:t>Loignon</w:t>
      </w:r>
      <w:proofErr w:type="spellEnd"/>
      <w:r w:rsidRPr="00B93FB5">
        <w:t xml:space="preserve">, A. C., Schmidt, P.B., Loughry, M. L., and </w:t>
      </w:r>
      <w:proofErr w:type="spellStart"/>
      <w:r w:rsidRPr="00B93FB5">
        <w:t>Ohland</w:t>
      </w:r>
      <w:proofErr w:type="spellEnd"/>
      <w:r w:rsidRPr="00B93FB5">
        <w:t xml:space="preserve">, M. W. (2015). Justifying aggregation with consensus-based constructs: A review and examination or cutoff values for common aggregation indices. </w:t>
      </w:r>
      <w:r w:rsidRPr="00B93FB5">
        <w:rPr>
          <w:i/>
          <w:iCs/>
        </w:rPr>
        <w:t>Organizational Research Methods 18</w:t>
      </w:r>
      <w:r w:rsidRPr="00B93FB5">
        <w:t xml:space="preserve">(4), 704-737. </w:t>
      </w:r>
    </w:p>
    <w:p w14:paraId="2A6351FA" w14:textId="77777777" w:rsidR="00227FA7" w:rsidRPr="00B93FB5" w:rsidRDefault="00227FA7" w:rsidP="00227FA7">
      <w:pPr>
        <w:ind w:left="720" w:hanging="720"/>
      </w:pPr>
      <w:r w:rsidRPr="00B93FB5">
        <w:t xml:space="preserve">Wolak, J. (2009). Explaining change in party identification in adolescence. </w:t>
      </w:r>
      <w:r w:rsidRPr="00B93FB5">
        <w:rPr>
          <w:i/>
          <w:iCs/>
        </w:rPr>
        <w:t>Electoral Studies, 28</w:t>
      </w:r>
      <w:r w:rsidRPr="00B93FB5">
        <w:t xml:space="preserve">(4), 573-583. https://linkinghub.elsevier.com/retrieve/pii/S0261379409000523. </w:t>
      </w:r>
    </w:p>
    <w:p w14:paraId="0158D64A" w14:textId="77777777" w:rsidR="005E2D99" w:rsidRDefault="005E2D99" w:rsidP="00345181"/>
    <w:sectPr w:rsidR="005E2D99">
      <w:headerReference w:type="even" r:id="rId9"/>
      <w:headerReference w:type="default" r:id="rId10"/>
      <w:footerReference w:type="default" r:id="rId11"/>
      <w:headerReference w:type="first" r:id="rId12"/>
      <w:pgSz w:w="12240" w:h="15840"/>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DE63B1" w16cex:dateUtc="2023-04-10T14:30:00Z"/>
  <w16cex:commentExtensible w16cex:durableId="27DE64A3" w16cex:dateUtc="2023-04-10T14:3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7ADD12" w14:textId="77777777" w:rsidR="00FE4961" w:rsidRDefault="00FE4961" w:rsidP="00345181">
      <w:r>
        <w:separator/>
      </w:r>
    </w:p>
  </w:endnote>
  <w:endnote w:type="continuationSeparator" w:id="0">
    <w:p w14:paraId="6769D29D" w14:textId="77777777" w:rsidR="00FE4961" w:rsidRDefault="00FE4961" w:rsidP="003451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TimesNewRomanRegular">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79108264"/>
      <w:docPartObj>
        <w:docPartGallery w:val="Page Numbers (Bottom of Page)"/>
        <w:docPartUnique/>
      </w:docPartObj>
    </w:sdtPr>
    <w:sdtEndPr>
      <w:rPr>
        <w:noProof/>
      </w:rPr>
    </w:sdtEndPr>
    <w:sdtContent>
      <w:p w14:paraId="11EB316F" w14:textId="2C4D55A8" w:rsidR="00FE4961" w:rsidRDefault="00FE4961">
        <w:pPr>
          <w:pStyle w:val="Footer"/>
          <w:jc w:val="center"/>
        </w:pPr>
        <w:r>
          <w:fldChar w:fldCharType="begin"/>
        </w:r>
        <w:r>
          <w:instrText xml:space="preserve"> PAGE   \* MERGEFORMAT </w:instrText>
        </w:r>
        <w:r>
          <w:fldChar w:fldCharType="separate"/>
        </w:r>
        <w:r>
          <w:rPr>
            <w:noProof/>
          </w:rPr>
          <w:t>25</w:t>
        </w:r>
        <w:r>
          <w:rPr>
            <w:noProof/>
          </w:rPr>
          <w:fldChar w:fldCharType="end"/>
        </w:r>
      </w:p>
    </w:sdtContent>
  </w:sdt>
  <w:p w14:paraId="06D41AF0" w14:textId="77777777" w:rsidR="00FE4961" w:rsidRDefault="00FE49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11C471" w14:textId="77777777" w:rsidR="00FE4961" w:rsidRDefault="00FE4961" w:rsidP="00345181">
      <w:r>
        <w:separator/>
      </w:r>
    </w:p>
  </w:footnote>
  <w:footnote w:type="continuationSeparator" w:id="0">
    <w:p w14:paraId="1A65E7DB" w14:textId="77777777" w:rsidR="00FE4961" w:rsidRDefault="00FE4961" w:rsidP="00345181">
      <w:r>
        <w:continuationSeparator/>
      </w:r>
    </w:p>
  </w:footnote>
  <w:footnote w:id="1">
    <w:p w14:paraId="16DAACDE" w14:textId="314B0ECA" w:rsidR="00FE4961" w:rsidRPr="00F23FA8" w:rsidRDefault="00FE4961">
      <w:pPr>
        <w:pStyle w:val="FootnoteText"/>
        <w:rPr>
          <w:rFonts w:ascii="Times New Roman" w:hAnsi="Times New Roman" w:cs="Times New Roman"/>
        </w:rPr>
      </w:pPr>
      <w:r>
        <w:rPr>
          <w:rStyle w:val="FootnoteReference"/>
        </w:rPr>
        <w:footnoteRef/>
      </w:r>
      <w:r>
        <w:t xml:space="preserve"> </w:t>
      </w:r>
      <w:r w:rsidRPr="00F23FA8">
        <w:rPr>
          <w:rFonts w:ascii="Times New Roman" w:hAnsi="Times New Roman" w:cs="Times New Roman"/>
        </w:rPr>
        <w:t>We refer to the field trips as “programs</w:t>
      </w:r>
      <w:r>
        <w:rPr>
          <w:rFonts w:ascii="Times New Roman" w:hAnsi="Times New Roman" w:cs="Times New Roman"/>
        </w:rPr>
        <w:t>” throughout the manuscript</w:t>
      </w:r>
      <w:r w:rsidRPr="00F23FA8">
        <w:rPr>
          <w:rFonts w:ascii="Times New Roman" w:hAnsi="Times New Roman" w:cs="Times New Roman"/>
        </w:rPr>
        <w:t xml:space="preserve">, </w:t>
      </w:r>
      <w:r w:rsidRPr="00E05B84">
        <w:rPr>
          <w:rFonts w:ascii="Times New Roman" w:hAnsi="Times New Roman" w:cs="Times New Roman"/>
        </w:rPr>
        <w:t>as the experiences all involved a planned set of activities with on-site educators</w:t>
      </w:r>
      <w:r w:rsidRPr="00F23FA8">
        <w:rPr>
          <w:rFonts w:ascii="Times New Roman" w:hAnsi="Times New Roman" w:cs="Times New Roman"/>
        </w:rPr>
        <w:t xml:space="preserve">. </w:t>
      </w:r>
    </w:p>
  </w:footnote>
  <w:footnote w:id="2">
    <w:p w14:paraId="455037D9" w14:textId="113CB315" w:rsidR="00FE4961" w:rsidRPr="00013AA8" w:rsidRDefault="00FE4961" w:rsidP="007E13EB">
      <w:pPr>
        <w:pStyle w:val="FootnoteText"/>
        <w:rPr>
          <w:rFonts w:ascii="Times New Roman" w:hAnsi="Times New Roman" w:cs="Times New Roman"/>
        </w:rPr>
      </w:pPr>
      <w:r w:rsidRPr="00013AA8">
        <w:rPr>
          <w:rStyle w:val="FootnoteReference"/>
          <w:rFonts w:ascii="Times New Roman" w:hAnsi="Times New Roman" w:cs="Times New Roman"/>
        </w:rPr>
        <w:footnoteRef/>
      </w:r>
      <w:r w:rsidRPr="00013AA8">
        <w:rPr>
          <w:rFonts w:ascii="Times New Roman" w:hAnsi="Times New Roman" w:cs="Times New Roman"/>
        </w:rPr>
        <w:t xml:space="preserve"> Using precinct-level election returns provides us with a sharper representation of students’ immediate sociopolitical </w:t>
      </w:r>
      <w:r>
        <w:rPr>
          <w:rFonts w:ascii="Times New Roman" w:hAnsi="Times New Roman" w:cs="Times New Roman"/>
        </w:rPr>
        <w:t>context</w:t>
      </w:r>
      <w:r w:rsidRPr="00013AA8">
        <w:rPr>
          <w:rFonts w:ascii="Times New Roman" w:hAnsi="Times New Roman" w:cs="Times New Roman"/>
        </w:rPr>
        <w:t xml:space="preserve"> than if we were to use school district or county-level data, which produce coarser illustrations of partisan turnout and may obscure variation between schools within the same district (Kitchens, 202</w:t>
      </w:r>
      <w:r>
        <w:rPr>
          <w:rFonts w:ascii="Times New Roman" w:hAnsi="Times New Roman" w:cs="Times New Roman"/>
        </w:rPr>
        <w:t>0</w:t>
      </w:r>
      <w:r w:rsidRPr="00013AA8">
        <w:rPr>
          <w:rFonts w:ascii="Times New Roman" w:hAnsi="Times New Roman" w:cs="Times New Roman"/>
        </w:rPr>
        <w:t xml:space="preserve">; Kinsella et al., 2015; Myers, 2013). </w:t>
      </w:r>
    </w:p>
  </w:footnote>
  <w:footnote w:id="3">
    <w:p w14:paraId="73B8226F" w14:textId="215AE0BC" w:rsidR="00FE4961" w:rsidRPr="009B6560" w:rsidRDefault="00FE4961" w:rsidP="009B6560">
      <w:pPr>
        <w:pStyle w:val="CommentText"/>
        <w:rPr>
          <w:bCs/>
        </w:rPr>
      </w:pPr>
      <w:r>
        <w:rPr>
          <w:rStyle w:val="FootnoteReference"/>
        </w:rPr>
        <w:footnoteRef/>
      </w:r>
      <w:r>
        <w:t xml:space="preserve"> </w:t>
      </w:r>
      <w:r>
        <w:rPr>
          <w:szCs w:val="24"/>
        </w:rPr>
        <w:t>We also examined</w:t>
      </w:r>
      <w:r w:rsidRPr="00316604">
        <w:rPr>
          <w:szCs w:val="24"/>
        </w:rPr>
        <w:t xml:space="preserve"> relationships between groups’ sociopolitical context and socioeconomic status, race, and urbanity. </w:t>
      </w:r>
      <w:r w:rsidRPr="00316604">
        <w:rPr>
          <w:bCs/>
          <w:szCs w:val="24"/>
        </w:rPr>
        <w:t xml:space="preserve">In short, participants from Republican contexts tended to be Whiter, wealthier, and live in more suburban or rural areas, whereas participants from Democratic areas tended to be more racially diverse, urban, and of lower socioeconomic status (see </w:t>
      </w:r>
      <w:r>
        <w:rPr>
          <w:bCs/>
          <w:szCs w:val="24"/>
        </w:rPr>
        <w:t>supplemental tables</w:t>
      </w:r>
      <w:r w:rsidRPr="00316604">
        <w:rPr>
          <w:bCs/>
          <w:szCs w:val="24"/>
        </w:rPr>
        <w:t>).</w:t>
      </w:r>
      <w:r>
        <w:rPr>
          <w:bCs/>
          <w:szCs w:val="24"/>
        </w:rPr>
        <w:t xml:space="preserve"> </w:t>
      </w:r>
      <w:r w:rsidRPr="009B6560">
        <w:rPr>
          <w:bCs/>
        </w:rPr>
        <w:t xml:space="preserve">All subsequent analyses eliminate the effects of grade level and race through group-mean-centering of the dependent variable, EE21. </w:t>
      </w:r>
      <w:r>
        <w:rPr>
          <w:bCs/>
        </w:rPr>
        <w:t xml:space="preserve"> For a more thorough examination of the relationship between race and program outcomes, see Stern et al. (2022). </w:t>
      </w:r>
    </w:p>
    <w:p w14:paraId="5B337180" w14:textId="34688365" w:rsidR="00FE4961" w:rsidRPr="00316604" w:rsidRDefault="00FE4961" w:rsidP="009B6560">
      <w:pPr>
        <w:pStyle w:val="FootnoteText"/>
        <w:rPr>
          <w:rFonts w:ascii="Times New Roman" w:hAnsi="Times New Roman" w:cs="Times New Roman"/>
          <w:sz w:val="16"/>
        </w:rPr>
      </w:pPr>
      <w:r>
        <w:rPr>
          <w:rFonts w:ascii="Times New Roman" w:hAnsi="Times New Roman" w:cs="Times New Roman"/>
          <w:bCs/>
          <w:szCs w:val="24"/>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F43457" w14:textId="6DA20062" w:rsidR="00837EB5" w:rsidRDefault="00837EB5">
    <w:pPr>
      <w:pStyle w:val="Header"/>
    </w:pPr>
    <w:r>
      <w:rPr>
        <w:noProof/>
      </w:rPr>
      <w:pict w14:anchorId="68ED2B4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6789766" o:spid="_x0000_s1026" type="#_x0000_t136" style="position:absolute;margin-left:0;margin-top:0;width:588.6pt;height:71.2pt;rotation:315;z-index:-251655168;mso-position-horizontal:center;mso-position-horizontal-relative:margin;mso-position-vertical:center;mso-position-vertical-relative:margin" o:allowincell="f" fillcolor="silver" stroked="f">
          <v:fill opacity=".5"/>
          <v:textpath style="font-family:&quot;Times New Roman&quot;;font-size:1pt" string="Final accepted manuscrip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2FC863" w14:textId="11A2033C" w:rsidR="00837EB5" w:rsidRPr="0066174E" w:rsidRDefault="00837EB5">
    <w:pPr>
      <w:pStyle w:val="Header"/>
      <w:rPr>
        <w:i/>
      </w:rPr>
    </w:pPr>
    <w:r>
      <w:rPr>
        <w:noProof/>
      </w:rPr>
      <w:pict w14:anchorId="6703F6F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6789767" o:spid="_x0000_s1027" type="#_x0000_t136" style="position:absolute;margin-left:0;margin-top:0;width:588.6pt;height:71.2pt;rotation:315;z-index:-251653120;mso-position-horizontal:center;mso-position-horizontal-relative:margin;mso-position-vertical:center;mso-position-vertical-relative:margin" o:allowincell="f" fillcolor="silver" stroked="f">
          <v:fill opacity=".5"/>
          <v:textpath style="font-family:&quot;Times New Roman&quot;;font-size:1pt" string="Final accepted manuscript"/>
        </v:shape>
      </w:pict>
    </w:r>
    <w:r w:rsidR="0066174E">
      <w:t>Accepted manuscript – October 2023</w:t>
    </w:r>
    <w:r w:rsidR="0066174E">
      <w:tab/>
    </w:r>
    <w:r w:rsidR="0066174E">
      <w:tab/>
    </w:r>
    <w:r w:rsidR="0066174E">
      <w:rPr>
        <w:i/>
      </w:rPr>
      <w:t>Environmental Education Research</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E5EB87" w14:textId="22B1D984" w:rsidR="00837EB5" w:rsidRDefault="00837EB5">
    <w:pPr>
      <w:pStyle w:val="Header"/>
    </w:pPr>
    <w:r>
      <w:rPr>
        <w:noProof/>
      </w:rPr>
      <w:pict w14:anchorId="0FAE099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6789765" o:spid="_x0000_s1025" type="#_x0000_t136" style="position:absolute;margin-left:0;margin-top:0;width:588.6pt;height:71.2pt;rotation:315;z-index:-251657216;mso-position-horizontal:center;mso-position-horizontal-relative:margin;mso-position-vertical:center;mso-position-vertical-relative:margin" o:allowincell="f" fillcolor="silver" stroked="f">
          <v:fill opacity=".5"/>
          <v:textpath style="font-family:&quot;Times New Roman&quot;;font-size:1pt" string="Final accepted manuscrip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31BAC"/>
    <w:multiLevelType w:val="hybridMultilevel"/>
    <w:tmpl w:val="454CC7FA"/>
    <w:lvl w:ilvl="0" w:tplc="AF806092">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D20AE7"/>
    <w:multiLevelType w:val="hybridMultilevel"/>
    <w:tmpl w:val="D8E09368"/>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 w15:restartNumberingAfterBreak="0">
    <w:nsid w:val="06645E0A"/>
    <w:multiLevelType w:val="hybridMultilevel"/>
    <w:tmpl w:val="EF961744"/>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 w15:restartNumberingAfterBreak="0">
    <w:nsid w:val="092D2414"/>
    <w:multiLevelType w:val="hybridMultilevel"/>
    <w:tmpl w:val="35427A30"/>
    <w:lvl w:ilvl="0" w:tplc="CD8853D2">
      <w:start w:val="2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EE4EB3"/>
    <w:multiLevelType w:val="hybridMultilevel"/>
    <w:tmpl w:val="A5DC8832"/>
    <w:lvl w:ilvl="0" w:tplc="F10CFD2E">
      <w:start w:val="3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041F43"/>
    <w:multiLevelType w:val="hybridMultilevel"/>
    <w:tmpl w:val="6016B57A"/>
    <w:lvl w:ilvl="0" w:tplc="7CE8444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0E59A1"/>
    <w:multiLevelType w:val="hybridMultilevel"/>
    <w:tmpl w:val="14DEF5C2"/>
    <w:lvl w:ilvl="0" w:tplc="6700DD36">
      <w:start w:val="20"/>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F0E11D0"/>
    <w:multiLevelType w:val="hybridMultilevel"/>
    <w:tmpl w:val="A3E05956"/>
    <w:lvl w:ilvl="0" w:tplc="2E5E5920">
      <w:start w:val="1"/>
      <w:numFmt w:val="decimal"/>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6664AE"/>
    <w:multiLevelType w:val="hybridMultilevel"/>
    <w:tmpl w:val="912481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6901791"/>
    <w:multiLevelType w:val="hybridMultilevel"/>
    <w:tmpl w:val="B8681B8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86C5F22"/>
    <w:multiLevelType w:val="hybridMultilevel"/>
    <w:tmpl w:val="3D427102"/>
    <w:lvl w:ilvl="0" w:tplc="52B8BB7C">
      <w:start w:val="2"/>
      <w:numFmt w:val="decimal"/>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D026E17"/>
    <w:multiLevelType w:val="hybridMultilevel"/>
    <w:tmpl w:val="7E34F76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2" w15:restartNumberingAfterBreak="0">
    <w:nsid w:val="3AE823A1"/>
    <w:multiLevelType w:val="hybridMultilevel"/>
    <w:tmpl w:val="01849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01369ED"/>
    <w:multiLevelType w:val="hybridMultilevel"/>
    <w:tmpl w:val="A6823B60"/>
    <w:lvl w:ilvl="0" w:tplc="C3D20134">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11C18DE"/>
    <w:multiLevelType w:val="multilevel"/>
    <w:tmpl w:val="E4703970"/>
    <w:lvl w:ilvl="0">
      <w:start w:val="1"/>
      <w:numFmt w:val="decimal"/>
      <w:lvlText w:val="%1."/>
      <w:lvlJc w:val="left"/>
      <w:pPr>
        <w:ind w:left="540" w:hanging="360"/>
      </w:pPr>
      <w:rPr>
        <w:rFonts w:hint="default"/>
        <w:b/>
        <w:bCs/>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441103C7"/>
    <w:multiLevelType w:val="hybridMultilevel"/>
    <w:tmpl w:val="2F5E6D78"/>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6" w15:restartNumberingAfterBreak="0">
    <w:nsid w:val="478F6C33"/>
    <w:multiLevelType w:val="hybridMultilevel"/>
    <w:tmpl w:val="58449948"/>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7" w15:restartNumberingAfterBreak="0">
    <w:nsid w:val="486D33C9"/>
    <w:multiLevelType w:val="hybridMultilevel"/>
    <w:tmpl w:val="A97EB0E8"/>
    <w:lvl w:ilvl="0" w:tplc="F050E5D0">
      <w:start w:val="2"/>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EA0F84"/>
    <w:multiLevelType w:val="hybridMultilevel"/>
    <w:tmpl w:val="B8681B8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D213107"/>
    <w:multiLevelType w:val="hybridMultilevel"/>
    <w:tmpl w:val="61ECF9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26117CD"/>
    <w:multiLevelType w:val="hybridMultilevel"/>
    <w:tmpl w:val="71101330"/>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1" w15:restartNumberingAfterBreak="0">
    <w:nsid w:val="56DB5C7F"/>
    <w:multiLevelType w:val="hybridMultilevel"/>
    <w:tmpl w:val="A1827942"/>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3D5333"/>
    <w:multiLevelType w:val="hybridMultilevel"/>
    <w:tmpl w:val="B8681B82"/>
    <w:lvl w:ilvl="0" w:tplc="C3B8DBE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5C33456"/>
    <w:multiLevelType w:val="hybridMultilevel"/>
    <w:tmpl w:val="B02620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5F66DC1"/>
    <w:multiLevelType w:val="hybridMultilevel"/>
    <w:tmpl w:val="CD48FFE2"/>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3F3BAB"/>
    <w:multiLevelType w:val="hybridMultilevel"/>
    <w:tmpl w:val="A1FCE8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81128C5"/>
    <w:multiLevelType w:val="hybridMultilevel"/>
    <w:tmpl w:val="BC7C716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AFA4A48"/>
    <w:multiLevelType w:val="hybridMultilevel"/>
    <w:tmpl w:val="6908D8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2F314C9"/>
    <w:multiLevelType w:val="multilevel"/>
    <w:tmpl w:val="0E02D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5A92E3E"/>
    <w:multiLevelType w:val="hybridMultilevel"/>
    <w:tmpl w:val="934445E6"/>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0" w15:restartNumberingAfterBreak="0">
    <w:nsid w:val="791F69A9"/>
    <w:multiLevelType w:val="hybridMultilevel"/>
    <w:tmpl w:val="A6B8544A"/>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1" w15:restartNumberingAfterBreak="0">
    <w:nsid w:val="7CC01275"/>
    <w:multiLevelType w:val="hybridMultilevel"/>
    <w:tmpl w:val="0D561080"/>
    <w:lvl w:ilvl="0" w:tplc="C71608E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F426BC4"/>
    <w:multiLevelType w:val="hybridMultilevel"/>
    <w:tmpl w:val="E5DA64A6"/>
    <w:lvl w:ilvl="0" w:tplc="D6A4FA3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F9D700C"/>
    <w:multiLevelType w:val="hybridMultilevel"/>
    <w:tmpl w:val="2ECEEA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14"/>
  </w:num>
  <w:num w:numId="3">
    <w:abstractNumId w:val="5"/>
  </w:num>
  <w:num w:numId="4">
    <w:abstractNumId w:val="22"/>
  </w:num>
  <w:num w:numId="5">
    <w:abstractNumId w:val="33"/>
  </w:num>
  <w:num w:numId="6">
    <w:abstractNumId w:val="31"/>
  </w:num>
  <w:num w:numId="7">
    <w:abstractNumId w:val="12"/>
  </w:num>
  <w:num w:numId="8">
    <w:abstractNumId w:val="17"/>
  </w:num>
  <w:num w:numId="9">
    <w:abstractNumId w:val="29"/>
  </w:num>
  <w:num w:numId="10">
    <w:abstractNumId w:val="2"/>
  </w:num>
  <w:num w:numId="11">
    <w:abstractNumId w:val="21"/>
  </w:num>
  <w:num w:numId="12">
    <w:abstractNumId w:val="15"/>
  </w:num>
  <w:num w:numId="13">
    <w:abstractNumId w:val="20"/>
  </w:num>
  <w:num w:numId="14">
    <w:abstractNumId w:val="24"/>
  </w:num>
  <w:num w:numId="15">
    <w:abstractNumId w:val="11"/>
  </w:num>
  <w:num w:numId="16">
    <w:abstractNumId w:val="16"/>
  </w:num>
  <w:num w:numId="17">
    <w:abstractNumId w:val="30"/>
  </w:num>
  <w:num w:numId="18">
    <w:abstractNumId w:val="1"/>
  </w:num>
  <w:num w:numId="19">
    <w:abstractNumId w:val="18"/>
  </w:num>
  <w:num w:numId="20">
    <w:abstractNumId w:val="32"/>
  </w:num>
  <w:num w:numId="21">
    <w:abstractNumId w:val="4"/>
  </w:num>
  <w:num w:numId="22">
    <w:abstractNumId w:val="3"/>
  </w:num>
  <w:num w:numId="23">
    <w:abstractNumId w:val="6"/>
  </w:num>
  <w:num w:numId="24">
    <w:abstractNumId w:val="23"/>
  </w:num>
  <w:num w:numId="25">
    <w:abstractNumId w:val="25"/>
  </w:num>
  <w:num w:numId="26">
    <w:abstractNumId w:val="13"/>
  </w:num>
  <w:num w:numId="27">
    <w:abstractNumId w:val="27"/>
  </w:num>
  <w:num w:numId="28">
    <w:abstractNumId w:val="9"/>
  </w:num>
  <w:num w:numId="29">
    <w:abstractNumId w:val="19"/>
  </w:num>
  <w:num w:numId="30">
    <w:abstractNumId w:val="0"/>
  </w:num>
  <w:num w:numId="31">
    <w:abstractNumId w:val="8"/>
  </w:num>
  <w:num w:numId="32">
    <w:abstractNumId w:val="26"/>
  </w:num>
  <w:num w:numId="33">
    <w:abstractNumId w:val="7"/>
  </w:num>
  <w:num w:numId="3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181"/>
    <w:rsid w:val="0000086E"/>
    <w:rsid w:val="0001288E"/>
    <w:rsid w:val="000230A7"/>
    <w:rsid w:val="000520A0"/>
    <w:rsid w:val="00064635"/>
    <w:rsid w:val="00082A36"/>
    <w:rsid w:val="00085D57"/>
    <w:rsid w:val="00096715"/>
    <w:rsid w:val="000B6F4D"/>
    <w:rsid w:val="000D6D39"/>
    <w:rsid w:val="000F1088"/>
    <w:rsid w:val="000F4B0D"/>
    <w:rsid w:val="00140E6F"/>
    <w:rsid w:val="00142B54"/>
    <w:rsid w:val="00152D69"/>
    <w:rsid w:val="001642ED"/>
    <w:rsid w:val="00183E2F"/>
    <w:rsid w:val="001950B5"/>
    <w:rsid w:val="001A08FA"/>
    <w:rsid w:val="001A430E"/>
    <w:rsid w:val="001A5E42"/>
    <w:rsid w:val="001B1792"/>
    <w:rsid w:val="001B480B"/>
    <w:rsid w:val="001B6206"/>
    <w:rsid w:val="001B7008"/>
    <w:rsid w:val="001C13FD"/>
    <w:rsid w:val="002073A1"/>
    <w:rsid w:val="00220BCC"/>
    <w:rsid w:val="002271E5"/>
    <w:rsid w:val="00227A88"/>
    <w:rsid w:val="00227FA7"/>
    <w:rsid w:val="002345F4"/>
    <w:rsid w:val="00241E8E"/>
    <w:rsid w:val="00256374"/>
    <w:rsid w:val="00257418"/>
    <w:rsid w:val="0026058A"/>
    <w:rsid w:val="002667DC"/>
    <w:rsid w:val="00270CC3"/>
    <w:rsid w:val="00272E07"/>
    <w:rsid w:val="00282C3C"/>
    <w:rsid w:val="0028533B"/>
    <w:rsid w:val="002B1277"/>
    <w:rsid w:val="002C1775"/>
    <w:rsid w:val="002D6A51"/>
    <w:rsid w:val="002E7E16"/>
    <w:rsid w:val="002F4539"/>
    <w:rsid w:val="003055F8"/>
    <w:rsid w:val="0031647C"/>
    <w:rsid w:val="00316604"/>
    <w:rsid w:val="00331C6B"/>
    <w:rsid w:val="00345181"/>
    <w:rsid w:val="00362045"/>
    <w:rsid w:val="0037206B"/>
    <w:rsid w:val="0038661A"/>
    <w:rsid w:val="003954E9"/>
    <w:rsid w:val="003A74D9"/>
    <w:rsid w:val="003C60B4"/>
    <w:rsid w:val="00404D52"/>
    <w:rsid w:val="00411385"/>
    <w:rsid w:val="00413E48"/>
    <w:rsid w:val="004179EF"/>
    <w:rsid w:val="00430F23"/>
    <w:rsid w:val="00435027"/>
    <w:rsid w:val="004579CB"/>
    <w:rsid w:val="00461438"/>
    <w:rsid w:val="00461C29"/>
    <w:rsid w:val="004663F6"/>
    <w:rsid w:val="004678C6"/>
    <w:rsid w:val="00472096"/>
    <w:rsid w:val="00484837"/>
    <w:rsid w:val="00490BE5"/>
    <w:rsid w:val="004B4D5B"/>
    <w:rsid w:val="004C3E80"/>
    <w:rsid w:val="004E05CA"/>
    <w:rsid w:val="004E18C4"/>
    <w:rsid w:val="00516CED"/>
    <w:rsid w:val="00526776"/>
    <w:rsid w:val="00541E8C"/>
    <w:rsid w:val="005568B8"/>
    <w:rsid w:val="005673C1"/>
    <w:rsid w:val="00570471"/>
    <w:rsid w:val="00575A3E"/>
    <w:rsid w:val="005811DE"/>
    <w:rsid w:val="00583563"/>
    <w:rsid w:val="00594CDE"/>
    <w:rsid w:val="0059742C"/>
    <w:rsid w:val="005C1CA1"/>
    <w:rsid w:val="005C5736"/>
    <w:rsid w:val="005D2779"/>
    <w:rsid w:val="005D3CF6"/>
    <w:rsid w:val="005E082E"/>
    <w:rsid w:val="005E1261"/>
    <w:rsid w:val="005E2D99"/>
    <w:rsid w:val="005E5A87"/>
    <w:rsid w:val="00602633"/>
    <w:rsid w:val="00605147"/>
    <w:rsid w:val="0061573F"/>
    <w:rsid w:val="00623B2D"/>
    <w:rsid w:val="006418C0"/>
    <w:rsid w:val="0066174E"/>
    <w:rsid w:val="006630A5"/>
    <w:rsid w:val="006768E7"/>
    <w:rsid w:val="0067713D"/>
    <w:rsid w:val="00677873"/>
    <w:rsid w:val="00694ED9"/>
    <w:rsid w:val="006A6D23"/>
    <w:rsid w:val="006B5CF0"/>
    <w:rsid w:val="006B7314"/>
    <w:rsid w:val="006C3279"/>
    <w:rsid w:val="006C4F3E"/>
    <w:rsid w:val="006D5EF7"/>
    <w:rsid w:val="006E458B"/>
    <w:rsid w:val="007033C8"/>
    <w:rsid w:val="00710697"/>
    <w:rsid w:val="007130EF"/>
    <w:rsid w:val="00734F41"/>
    <w:rsid w:val="00737D4B"/>
    <w:rsid w:val="007458D1"/>
    <w:rsid w:val="00753D5D"/>
    <w:rsid w:val="00761A68"/>
    <w:rsid w:val="00774654"/>
    <w:rsid w:val="007810B8"/>
    <w:rsid w:val="00782A09"/>
    <w:rsid w:val="007915F0"/>
    <w:rsid w:val="007B378B"/>
    <w:rsid w:val="007C42C6"/>
    <w:rsid w:val="007C4B34"/>
    <w:rsid w:val="007D6BDE"/>
    <w:rsid w:val="007E13EB"/>
    <w:rsid w:val="007E4919"/>
    <w:rsid w:val="007F0B16"/>
    <w:rsid w:val="007F658C"/>
    <w:rsid w:val="008070BA"/>
    <w:rsid w:val="00807B52"/>
    <w:rsid w:val="00816191"/>
    <w:rsid w:val="00837EB5"/>
    <w:rsid w:val="00843618"/>
    <w:rsid w:val="008454E6"/>
    <w:rsid w:val="008461B8"/>
    <w:rsid w:val="00865EF3"/>
    <w:rsid w:val="00871453"/>
    <w:rsid w:val="00876B81"/>
    <w:rsid w:val="00890F92"/>
    <w:rsid w:val="00894490"/>
    <w:rsid w:val="008A1739"/>
    <w:rsid w:val="008A78EC"/>
    <w:rsid w:val="008B3E6F"/>
    <w:rsid w:val="008B6B60"/>
    <w:rsid w:val="008C3AEC"/>
    <w:rsid w:val="008C45B3"/>
    <w:rsid w:val="008D2DC9"/>
    <w:rsid w:val="008E3A42"/>
    <w:rsid w:val="008E499D"/>
    <w:rsid w:val="008F4050"/>
    <w:rsid w:val="00954422"/>
    <w:rsid w:val="009552A3"/>
    <w:rsid w:val="00956A10"/>
    <w:rsid w:val="00962978"/>
    <w:rsid w:val="00971043"/>
    <w:rsid w:val="009719CC"/>
    <w:rsid w:val="00974DEA"/>
    <w:rsid w:val="00986254"/>
    <w:rsid w:val="009A0416"/>
    <w:rsid w:val="009A1CDB"/>
    <w:rsid w:val="009B6560"/>
    <w:rsid w:val="009C199A"/>
    <w:rsid w:val="009C78AF"/>
    <w:rsid w:val="009D43F8"/>
    <w:rsid w:val="009F31D6"/>
    <w:rsid w:val="009F3C19"/>
    <w:rsid w:val="00A13E47"/>
    <w:rsid w:val="00A2384D"/>
    <w:rsid w:val="00A30815"/>
    <w:rsid w:val="00A36CAE"/>
    <w:rsid w:val="00A479D6"/>
    <w:rsid w:val="00A65E2A"/>
    <w:rsid w:val="00A672CC"/>
    <w:rsid w:val="00A714F8"/>
    <w:rsid w:val="00A722A3"/>
    <w:rsid w:val="00A754F7"/>
    <w:rsid w:val="00A76D8C"/>
    <w:rsid w:val="00A87331"/>
    <w:rsid w:val="00AB4843"/>
    <w:rsid w:val="00AB6EF2"/>
    <w:rsid w:val="00AD655A"/>
    <w:rsid w:val="00AF247F"/>
    <w:rsid w:val="00B01624"/>
    <w:rsid w:val="00B22A48"/>
    <w:rsid w:val="00B40E8F"/>
    <w:rsid w:val="00B5136C"/>
    <w:rsid w:val="00B67666"/>
    <w:rsid w:val="00B70AC9"/>
    <w:rsid w:val="00B74860"/>
    <w:rsid w:val="00B7791F"/>
    <w:rsid w:val="00B941EB"/>
    <w:rsid w:val="00BA3BB2"/>
    <w:rsid w:val="00BC641A"/>
    <w:rsid w:val="00BE1F0F"/>
    <w:rsid w:val="00BE2894"/>
    <w:rsid w:val="00BE71FE"/>
    <w:rsid w:val="00BF3754"/>
    <w:rsid w:val="00BF476C"/>
    <w:rsid w:val="00C0022C"/>
    <w:rsid w:val="00C015CD"/>
    <w:rsid w:val="00C06625"/>
    <w:rsid w:val="00C14221"/>
    <w:rsid w:val="00C23FDE"/>
    <w:rsid w:val="00C30914"/>
    <w:rsid w:val="00C437CB"/>
    <w:rsid w:val="00C51EA6"/>
    <w:rsid w:val="00C914C2"/>
    <w:rsid w:val="00CA02BF"/>
    <w:rsid w:val="00CA72AA"/>
    <w:rsid w:val="00CB3341"/>
    <w:rsid w:val="00CC2CB3"/>
    <w:rsid w:val="00CD57F4"/>
    <w:rsid w:val="00CE2E84"/>
    <w:rsid w:val="00CF0D97"/>
    <w:rsid w:val="00D072D3"/>
    <w:rsid w:val="00D07323"/>
    <w:rsid w:val="00D14B98"/>
    <w:rsid w:val="00D22F86"/>
    <w:rsid w:val="00D343B9"/>
    <w:rsid w:val="00D847CC"/>
    <w:rsid w:val="00D84D0B"/>
    <w:rsid w:val="00D86E91"/>
    <w:rsid w:val="00DC058C"/>
    <w:rsid w:val="00DC3109"/>
    <w:rsid w:val="00DC3408"/>
    <w:rsid w:val="00DC5EB1"/>
    <w:rsid w:val="00DE7362"/>
    <w:rsid w:val="00DF3415"/>
    <w:rsid w:val="00DF591D"/>
    <w:rsid w:val="00E003E6"/>
    <w:rsid w:val="00E05B84"/>
    <w:rsid w:val="00E132F1"/>
    <w:rsid w:val="00E32258"/>
    <w:rsid w:val="00E32D43"/>
    <w:rsid w:val="00E37D07"/>
    <w:rsid w:val="00E81182"/>
    <w:rsid w:val="00E85792"/>
    <w:rsid w:val="00E90A83"/>
    <w:rsid w:val="00EA2F94"/>
    <w:rsid w:val="00EA5A8A"/>
    <w:rsid w:val="00EB2D9C"/>
    <w:rsid w:val="00EC7E8B"/>
    <w:rsid w:val="00ED0F1D"/>
    <w:rsid w:val="00F213B2"/>
    <w:rsid w:val="00F22683"/>
    <w:rsid w:val="00F23FA8"/>
    <w:rsid w:val="00F26687"/>
    <w:rsid w:val="00F33108"/>
    <w:rsid w:val="00F35D95"/>
    <w:rsid w:val="00F37034"/>
    <w:rsid w:val="00F46E30"/>
    <w:rsid w:val="00F5381E"/>
    <w:rsid w:val="00F54CEB"/>
    <w:rsid w:val="00F71BA2"/>
    <w:rsid w:val="00F72090"/>
    <w:rsid w:val="00F96ED7"/>
    <w:rsid w:val="00FB2848"/>
    <w:rsid w:val="00FB37BC"/>
    <w:rsid w:val="00FB7F3D"/>
    <w:rsid w:val="00FC11BA"/>
    <w:rsid w:val="00FD767B"/>
    <w:rsid w:val="00FD7924"/>
    <w:rsid w:val="00FE49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C52CDC"/>
  <w15:chartTrackingRefBased/>
  <w15:docId w15:val="{2122651A-97A0-45D4-91EA-977C5D658D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45181"/>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34518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45181"/>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45181"/>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4518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345181"/>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345181"/>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unhideWhenUsed/>
    <w:rsid w:val="00345181"/>
    <w:pPr>
      <w:spacing w:before="100" w:beforeAutospacing="1" w:after="100" w:afterAutospacing="1"/>
    </w:pPr>
  </w:style>
  <w:style w:type="paragraph" w:styleId="ListParagraph">
    <w:name w:val="List Paragraph"/>
    <w:basedOn w:val="Normal"/>
    <w:uiPriority w:val="34"/>
    <w:qFormat/>
    <w:rsid w:val="00345181"/>
    <w:pPr>
      <w:ind w:left="720"/>
      <w:contextualSpacing/>
    </w:pPr>
    <w:rPr>
      <w:rFonts w:asciiTheme="minorHAnsi" w:eastAsiaTheme="minorHAnsi" w:hAnsiTheme="minorHAnsi" w:cstheme="minorBidi"/>
    </w:rPr>
  </w:style>
  <w:style w:type="paragraph" w:styleId="CommentText">
    <w:name w:val="annotation text"/>
    <w:basedOn w:val="Normal"/>
    <w:link w:val="CommentTextChar"/>
    <w:uiPriority w:val="99"/>
    <w:unhideWhenUsed/>
    <w:rsid w:val="00345181"/>
    <w:rPr>
      <w:sz w:val="20"/>
      <w:szCs w:val="20"/>
    </w:rPr>
  </w:style>
  <w:style w:type="character" w:customStyle="1" w:styleId="CommentTextChar">
    <w:name w:val="Comment Text Char"/>
    <w:basedOn w:val="DefaultParagraphFont"/>
    <w:link w:val="CommentText"/>
    <w:uiPriority w:val="99"/>
    <w:rsid w:val="00345181"/>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345181"/>
    <w:rPr>
      <w:sz w:val="16"/>
      <w:szCs w:val="16"/>
    </w:rPr>
  </w:style>
  <w:style w:type="paragraph" w:styleId="CommentSubject">
    <w:name w:val="annotation subject"/>
    <w:basedOn w:val="CommentText"/>
    <w:next w:val="CommentText"/>
    <w:link w:val="CommentSubjectChar"/>
    <w:uiPriority w:val="99"/>
    <w:semiHidden/>
    <w:unhideWhenUsed/>
    <w:rsid w:val="00345181"/>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345181"/>
    <w:rPr>
      <w:rFonts w:ascii="Times New Roman" w:eastAsia="Times New Roman" w:hAnsi="Times New Roman" w:cs="Times New Roman"/>
      <w:b/>
      <w:bCs/>
      <w:sz w:val="20"/>
      <w:szCs w:val="20"/>
    </w:rPr>
  </w:style>
  <w:style w:type="paragraph" w:styleId="Header">
    <w:name w:val="header"/>
    <w:basedOn w:val="Normal"/>
    <w:link w:val="HeaderChar"/>
    <w:uiPriority w:val="99"/>
    <w:unhideWhenUsed/>
    <w:rsid w:val="00345181"/>
    <w:pPr>
      <w:tabs>
        <w:tab w:val="center" w:pos="4680"/>
        <w:tab w:val="right" w:pos="9360"/>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345181"/>
    <w:rPr>
      <w:sz w:val="24"/>
      <w:szCs w:val="24"/>
    </w:rPr>
  </w:style>
  <w:style w:type="paragraph" w:styleId="Footer">
    <w:name w:val="footer"/>
    <w:basedOn w:val="Normal"/>
    <w:link w:val="FooterChar"/>
    <w:uiPriority w:val="99"/>
    <w:unhideWhenUsed/>
    <w:rsid w:val="00345181"/>
    <w:pPr>
      <w:tabs>
        <w:tab w:val="center" w:pos="4680"/>
        <w:tab w:val="right" w:pos="9360"/>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345181"/>
    <w:rPr>
      <w:sz w:val="24"/>
      <w:szCs w:val="24"/>
    </w:rPr>
  </w:style>
  <w:style w:type="character" w:styleId="PageNumber">
    <w:name w:val="page number"/>
    <w:basedOn w:val="DefaultParagraphFont"/>
    <w:uiPriority w:val="99"/>
    <w:semiHidden/>
    <w:unhideWhenUsed/>
    <w:rsid w:val="00345181"/>
  </w:style>
  <w:style w:type="paragraph" w:styleId="TOCHeading">
    <w:name w:val="TOC Heading"/>
    <w:basedOn w:val="Heading1"/>
    <w:next w:val="Normal"/>
    <w:uiPriority w:val="39"/>
    <w:unhideWhenUsed/>
    <w:qFormat/>
    <w:rsid w:val="00345181"/>
    <w:pPr>
      <w:spacing w:before="480" w:line="276" w:lineRule="auto"/>
      <w:outlineLvl w:val="9"/>
    </w:pPr>
    <w:rPr>
      <w:b/>
      <w:bCs/>
      <w:sz w:val="28"/>
      <w:szCs w:val="28"/>
    </w:rPr>
  </w:style>
  <w:style w:type="paragraph" w:styleId="TOC1">
    <w:name w:val="toc 1"/>
    <w:basedOn w:val="Heading1"/>
    <w:next w:val="Heading1"/>
    <w:autoRedefine/>
    <w:uiPriority w:val="39"/>
    <w:unhideWhenUsed/>
    <w:qFormat/>
    <w:rsid w:val="00345181"/>
    <w:pPr>
      <w:keepNext w:val="0"/>
      <w:keepLines w:val="0"/>
      <w:tabs>
        <w:tab w:val="right" w:leader="dot" w:pos="9350"/>
      </w:tabs>
      <w:spacing w:before="120" w:after="120"/>
      <w:outlineLvl w:val="9"/>
    </w:pPr>
    <w:rPr>
      <w:rFonts w:ascii="Times New Roman" w:eastAsiaTheme="minorHAnsi" w:hAnsi="Times New Roman" w:cs="Times New Roman"/>
      <w:b/>
      <w:bCs/>
      <w:noProof/>
      <w:color w:val="auto"/>
      <w:sz w:val="24"/>
      <w:szCs w:val="24"/>
    </w:rPr>
  </w:style>
  <w:style w:type="paragraph" w:styleId="TOC2">
    <w:name w:val="toc 2"/>
    <w:basedOn w:val="Heading2"/>
    <w:next w:val="Normal"/>
    <w:autoRedefine/>
    <w:uiPriority w:val="39"/>
    <w:unhideWhenUsed/>
    <w:rsid w:val="00345181"/>
    <w:pPr>
      <w:keepNext w:val="0"/>
      <w:keepLines w:val="0"/>
      <w:spacing w:before="0"/>
      <w:ind w:left="240"/>
      <w:outlineLvl w:val="9"/>
    </w:pPr>
    <w:rPr>
      <w:rFonts w:asciiTheme="minorHAnsi" w:eastAsiaTheme="minorHAnsi" w:hAnsiTheme="minorHAnsi" w:cstheme="minorHAnsi"/>
      <w:smallCaps/>
      <w:color w:val="auto"/>
      <w:sz w:val="20"/>
      <w:szCs w:val="20"/>
    </w:rPr>
  </w:style>
  <w:style w:type="paragraph" w:styleId="TOC3">
    <w:name w:val="toc 3"/>
    <w:basedOn w:val="Heading3"/>
    <w:next w:val="Normal"/>
    <w:autoRedefine/>
    <w:uiPriority w:val="39"/>
    <w:unhideWhenUsed/>
    <w:rsid w:val="00345181"/>
    <w:pPr>
      <w:keepNext w:val="0"/>
      <w:keepLines w:val="0"/>
      <w:spacing w:before="0"/>
      <w:ind w:left="480"/>
      <w:outlineLvl w:val="9"/>
    </w:pPr>
    <w:rPr>
      <w:rFonts w:asciiTheme="minorHAnsi" w:eastAsiaTheme="minorHAnsi" w:hAnsiTheme="minorHAnsi" w:cstheme="minorHAnsi"/>
      <w:i/>
      <w:iCs/>
      <w:color w:val="auto"/>
      <w:sz w:val="20"/>
      <w:szCs w:val="20"/>
    </w:rPr>
  </w:style>
  <w:style w:type="paragraph" w:styleId="TOC4">
    <w:name w:val="toc 4"/>
    <w:basedOn w:val="Normal"/>
    <w:next w:val="Normal"/>
    <w:autoRedefine/>
    <w:uiPriority w:val="39"/>
    <w:semiHidden/>
    <w:unhideWhenUsed/>
    <w:rsid w:val="00345181"/>
    <w:pPr>
      <w:ind w:left="720"/>
    </w:pPr>
    <w:rPr>
      <w:rFonts w:asciiTheme="minorHAnsi" w:eastAsiaTheme="minorHAnsi" w:hAnsiTheme="minorHAnsi" w:cstheme="minorHAnsi"/>
      <w:sz w:val="18"/>
      <w:szCs w:val="18"/>
    </w:rPr>
  </w:style>
  <w:style w:type="paragraph" w:styleId="TOC5">
    <w:name w:val="toc 5"/>
    <w:basedOn w:val="Normal"/>
    <w:next w:val="Normal"/>
    <w:autoRedefine/>
    <w:uiPriority w:val="39"/>
    <w:semiHidden/>
    <w:unhideWhenUsed/>
    <w:rsid w:val="00345181"/>
    <w:pPr>
      <w:ind w:left="960"/>
    </w:pPr>
    <w:rPr>
      <w:rFonts w:asciiTheme="minorHAnsi" w:eastAsiaTheme="minorHAnsi" w:hAnsiTheme="minorHAnsi" w:cstheme="minorHAnsi"/>
      <w:sz w:val="18"/>
      <w:szCs w:val="18"/>
    </w:rPr>
  </w:style>
  <w:style w:type="paragraph" w:styleId="TOC6">
    <w:name w:val="toc 6"/>
    <w:basedOn w:val="Normal"/>
    <w:next w:val="Normal"/>
    <w:autoRedefine/>
    <w:uiPriority w:val="39"/>
    <w:semiHidden/>
    <w:unhideWhenUsed/>
    <w:rsid w:val="00345181"/>
    <w:pPr>
      <w:ind w:left="1200"/>
    </w:pPr>
    <w:rPr>
      <w:rFonts w:asciiTheme="minorHAnsi" w:eastAsiaTheme="minorHAnsi" w:hAnsiTheme="minorHAnsi" w:cstheme="minorHAnsi"/>
      <w:sz w:val="18"/>
      <w:szCs w:val="18"/>
    </w:rPr>
  </w:style>
  <w:style w:type="paragraph" w:styleId="TOC7">
    <w:name w:val="toc 7"/>
    <w:basedOn w:val="Normal"/>
    <w:next w:val="Normal"/>
    <w:autoRedefine/>
    <w:uiPriority w:val="39"/>
    <w:semiHidden/>
    <w:unhideWhenUsed/>
    <w:rsid w:val="00345181"/>
    <w:pPr>
      <w:ind w:left="1440"/>
    </w:pPr>
    <w:rPr>
      <w:rFonts w:asciiTheme="minorHAnsi" w:eastAsiaTheme="minorHAnsi" w:hAnsiTheme="minorHAnsi" w:cstheme="minorHAnsi"/>
      <w:sz w:val="18"/>
      <w:szCs w:val="18"/>
    </w:rPr>
  </w:style>
  <w:style w:type="paragraph" w:styleId="TOC8">
    <w:name w:val="toc 8"/>
    <w:basedOn w:val="Normal"/>
    <w:next w:val="Normal"/>
    <w:autoRedefine/>
    <w:uiPriority w:val="39"/>
    <w:semiHidden/>
    <w:unhideWhenUsed/>
    <w:rsid w:val="00345181"/>
    <w:pPr>
      <w:ind w:left="1680"/>
    </w:pPr>
    <w:rPr>
      <w:rFonts w:asciiTheme="minorHAnsi" w:eastAsiaTheme="minorHAnsi" w:hAnsiTheme="minorHAnsi" w:cstheme="minorHAnsi"/>
      <w:sz w:val="18"/>
      <w:szCs w:val="18"/>
    </w:rPr>
  </w:style>
  <w:style w:type="paragraph" w:styleId="TOC9">
    <w:name w:val="toc 9"/>
    <w:basedOn w:val="Normal"/>
    <w:next w:val="Normal"/>
    <w:autoRedefine/>
    <w:uiPriority w:val="39"/>
    <w:semiHidden/>
    <w:unhideWhenUsed/>
    <w:rsid w:val="00345181"/>
    <w:pPr>
      <w:ind w:left="1920"/>
    </w:pPr>
    <w:rPr>
      <w:rFonts w:asciiTheme="minorHAnsi" w:eastAsiaTheme="minorHAnsi" w:hAnsiTheme="minorHAnsi" w:cstheme="minorHAnsi"/>
      <w:sz w:val="18"/>
      <w:szCs w:val="18"/>
    </w:rPr>
  </w:style>
  <w:style w:type="character" w:styleId="Hyperlink">
    <w:name w:val="Hyperlink"/>
    <w:basedOn w:val="DefaultParagraphFont"/>
    <w:uiPriority w:val="99"/>
    <w:unhideWhenUsed/>
    <w:rsid w:val="00345181"/>
    <w:rPr>
      <w:color w:val="0563C1" w:themeColor="hyperlink"/>
      <w:u w:val="single"/>
    </w:rPr>
  </w:style>
  <w:style w:type="table" w:styleId="TableGrid">
    <w:name w:val="Table Grid"/>
    <w:basedOn w:val="TableNormal"/>
    <w:uiPriority w:val="39"/>
    <w:rsid w:val="00345181"/>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45181"/>
    <w:rPr>
      <w:rFonts w:ascii="Segoe UI" w:eastAsiaTheme="minorHAnsi" w:hAnsi="Segoe UI" w:cs="Segoe UI"/>
      <w:sz w:val="18"/>
      <w:szCs w:val="18"/>
    </w:rPr>
  </w:style>
  <w:style w:type="character" w:customStyle="1" w:styleId="BalloonTextChar">
    <w:name w:val="Balloon Text Char"/>
    <w:basedOn w:val="DefaultParagraphFont"/>
    <w:link w:val="BalloonText"/>
    <w:uiPriority w:val="99"/>
    <w:semiHidden/>
    <w:rsid w:val="00345181"/>
    <w:rPr>
      <w:rFonts w:ascii="Segoe UI" w:hAnsi="Segoe UI" w:cs="Segoe UI"/>
      <w:sz w:val="18"/>
      <w:szCs w:val="18"/>
    </w:rPr>
  </w:style>
  <w:style w:type="paragraph" w:styleId="Revision">
    <w:name w:val="Revision"/>
    <w:hidden/>
    <w:uiPriority w:val="99"/>
    <w:semiHidden/>
    <w:rsid w:val="00345181"/>
    <w:rPr>
      <w:sz w:val="24"/>
      <w:szCs w:val="24"/>
    </w:rPr>
  </w:style>
  <w:style w:type="paragraph" w:styleId="FootnoteText">
    <w:name w:val="footnote text"/>
    <w:basedOn w:val="Normal"/>
    <w:link w:val="FootnoteTextChar"/>
    <w:uiPriority w:val="99"/>
    <w:semiHidden/>
    <w:unhideWhenUsed/>
    <w:rsid w:val="00345181"/>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345181"/>
    <w:rPr>
      <w:sz w:val="20"/>
      <w:szCs w:val="20"/>
    </w:rPr>
  </w:style>
  <w:style w:type="character" w:styleId="FootnoteReference">
    <w:name w:val="footnote reference"/>
    <w:basedOn w:val="DefaultParagraphFont"/>
    <w:uiPriority w:val="99"/>
    <w:semiHidden/>
    <w:unhideWhenUsed/>
    <w:rsid w:val="00345181"/>
    <w:rPr>
      <w:vertAlign w:val="superscript"/>
    </w:rPr>
  </w:style>
  <w:style w:type="character" w:customStyle="1" w:styleId="UnresolvedMention1">
    <w:name w:val="Unresolved Mention1"/>
    <w:basedOn w:val="DefaultParagraphFont"/>
    <w:uiPriority w:val="99"/>
    <w:semiHidden/>
    <w:unhideWhenUsed/>
    <w:rsid w:val="00345181"/>
    <w:rPr>
      <w:color w:val="605E5C"/>
      <w:shd w:val="clear" w:color="auto" w:fill="E1DFDD"/>
    </w:rPr>
  </w:style>
  <w:style w:type="character" w:customStyle="1" w:styleId="UnresolvedMention2">
    <w:name w:val="Unresolved Mention2"/>
    <w:basedOn w:val="DefaultParagraphFont"/>
    <w:uiPriority w:val="99"/>
    <w:semiHidden/>
    <w:unhideWhenUsed/>
    <w:rsid w:val="00345181"/>
    <w:rPr>
      <w:color w:val="605E5C"/>
      <w:shd w:val="clear" w:color="auto" w:fill="E1DFDD"/>
    </w:rPr>
  </w:style>
  <w:style w:type="character" w:styleId="PlaceholderText">
    <w:name w:val="Placeholder Text"/>
    <w:basedOn w:val="DefaultParagraphFont"/>
    <w:uiPriority w:val="99"/>
    <w:semiHidden/>
    <w:rsid w:val="00345181"/>
    <w:rPr>
      <w:color w:val="808080"/>
    </w:rPr>
  </w:style>
  <w:style w:type="paragraph" w:styleId="EndnoteText">
    <w:name w:val="endnote text"/>
    <w:basedOn w:val="Normal"/>
    <w:link w:val="EndnoteTextChar"/>
    <w:uiPriority w:val="99"/>
    <w:semiHidden/>
    <w:unhideWhenUsed/>
    <w:rsid w:val="00345181"/>
    <w:rPr>
      <w:sz w:val="20"/>
      <w:szCs w:val="20"/>
    </w:rPr>
  </w:style>
  <w:style w:type="character" w:customStyle="1" w:styleId="EndnoteTextChar">
    <w:name w:val="Endnote Text Char"/>
    <w:basedOn w:val="DefaultParagraphFont"/>
    <w:link w:val="EndnoteText"/>
    <w:uiPriority w:val="99"/>
    <w:semiHidden/>
    <w:rsid w:val="0034518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345181"/>
    <w:rPr>
      <w:vertAlign w:val="superscript"/>
    </w:rPr>
  </w:style>
  <w:style w:type="character" w:styleId="UnresolvedMention">
    <w:name w:val="Unresolved Mention"/>
    <w:basedOn w:val="DefaultParagraphFont"/>
    <w:uiPriority w:val="99"/>
    <w:semiHidden/>
    <w:unhideWhenUsed/>
    <w:rsid w:val="00CB3341"/>
    <w:rPr>
      <w:color w:val="605E5C"/>
      <w:shd w:val="clear" w:color="auto" w:fill="E1DFDD"/>
    </w:rPr>
  </w:style>
  <w:style w:type="character" w:customStyle="1" w:styleId="il">
    <w:name w:val="il"/>
    <w:basedOn w:val="DefaultParagraphFont"/>
    <w:rsid w:val="009552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2386158">
      <w:bodyDiv w:val="1"/>
      <w:marLeft w:val="0"/>
      <w:marRight w:val="0"/>
      <w:marTop w:val="0"/>
      <w:marBottom w:val="0"/>
      <w:divBdr>
        <w:top w:val="none" w:sz="0" w:space="0" w:color="auto"/>
        <w:left w:val="none" w:sz="0" w:space="0" w:color="auto"/>
        <w:bottom w:val="none" w:sz="0" w:space="0" w:color="auto"/>
        <w:right w:val="none" w:sz="0" w:space="0" w:color="auto"/>
      </w:divBdr>
    </w:div>
    <w:div w:id="2016029779">
      <w:bodyDiv w:val="1"/>
      <w:marLeft w:val="0"/>
      <w:marRight w:val="0"/>
      <w:marTop w:val="0"/>
      <w:marBottom w:val="0"/>
      <w:divBdr>
        <w:top w:val="none" w:sz="0" w:space="0" w:color="auto"/>
        <w:left w:val="none" w:sz="0" w:space="0" w:color="auto"/>
        <w:bottom w:val="none" w:sz="0" w:space="0" w:color="auto"/>
        <w:right w:val="none" w:sz="0" w:space="0" w:color="auto"/>
      </w:divBdr>
      <w:divsChild>
        <w:div w:id="2658907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jstern@vt.ed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40B4D2-192F-48E4-8226-01E202CE62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8848</Words>
  <Characters>50435</Characters>
  <Application>Microsoft Office Word</Application>
  <DocSecurity>0</DocSecurity>
  <Lines>420</Lines>
  <Paragraphs>118</Paragraphs>
  <ScaleCrop>false</ScaleCrop>
  <HeadingPairs>
    <vt:vector size="2" baseType="variant">
      <vt:variant>
        <vt:lpstr>Title</vt:lpstr>
      </vt:variant>
      <vt:variant>
        <vt:i4>1</vt:i4>
      </vt:variant>
    </vt:vector>
  </HeadingPairs>
  <TitlesOfParts>
    <vt:vector size="1" baseType="lpstr">
      <vt:lpstr/>
    </vt:vector>
  </TitlesOfParts>
  <Company>Virginia Tech</Company>
  <LinksUpToDate>false</LinksUpToDate>
  <CharactersWithSpaces>59165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Stern, Marc</dc:creator>
  <cp:keywords/>
  <dc:description/>
  <cp:lastModifiedBy>Stern, Marc</cp:lastModifiedBy>
  <cp:revision>2</cp:revision>
  <cp:lastPrinted>2023-04-08T21:27:00Z</cp:lastPrinted>
  <dcterms:created xsi:type="dcterms:W3CDTF">2023-10-25T13:10:00Z</dcterms:created>
  <dcterms:modified xsi:type="dcterms:W3CDTF">2023-10-25T13:10:00Z</dcterms:modified>
</cp:coreProperties>
</file>