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A78CAE8" w:rsidR="00A014FB" w:rsidRDefault="00214A31" w:rsidP="00D42991">
      <w:pPr>
        <w:pStyle w:val="Normal1"/>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w:t>
      </w:r>
      <w:r w:rsidR="00D42991">
        <w:rPr>
          <w:rFonts w:ascii="Times New Roman" w:eastAsia="Times New Roman" w:hAnsi="Times New Roman" w:cs="Times New Roman"/>
          <w:b/>
          <w:sz w:val="24"/>
          <w:szCs w:val="24"/>
        </w:rPr>
        <w:t xml:space="preserve">evitalizing The Future of Food Safety </w:t>
      </w:r>
      <w:r w:rsidR="002D0E7E">
        <w:rPr>
          <w:rFonts w:ascii="Times New Roman" w:eastAsia="Times New Roman" w:hAnsi="Times New Roman" w:cs="Times New Roman"/>
          <w:b/>
          <w:sz w:val="24"/>
          <w:szCs w:val="24"/>
        </w:rPr>
        <w:t>Extension</w:t>
      </w:r>
    </w:p>
    <w:p w14:paraId="1D9588D9" w14:textId="6D8CCDD2" w:rsidR="00D42991" w:rsidRDefault="00D42991" w:rsidP="00D42991">
      <w:pPr>
        <w:pStyle w:val="Normal1"/>
        <w:spacing w:line="480" w:lineRule="auto"/>
        <w:jc w:val="center"/>
        <w:rPr>
          <w:rFonts w:ascii="Times New Roman" w:eastAsia="Times New Roman" w:hAnsi="Times New Roman" w:cs="Times New Roman"/>
          <w:b/>
          <w:sz w:val="24"/>
          <w:szCs w:val="24"/>
        </w:rPr>
      </w:pPr>
    </w:p>
    <w:p w14:paraId="4DC0F2D7" w14:textId="77777777" w:rsidR="00D42991" w:rsidRDefault="00D42991" w:rsidP="0080252A">
      <w:pPr>
        <w:pStyle w:val="Normal1"/>
        <w:spacing w:line="480" w:lineRule="auto"/>
        <w:jc w:val="center"/>
        <w:rPr>
          <w:rFonts w:ascii="Times New Roman" w:eastAsia="Times New Roman" w:hAnsi="Times New Roman" w:cs="Times New Roman"/>
          <w:b/>
          <w:sz w:val="24"/>
          <w:szCs w:val="24"/>
        </w:rPr>
      </w:pPr>
    </w:p>
    <w:p w14:paraId="00000002" w14:textId="252E67FA" w:rsidR="00A014FB" w:rsidRPr="0080252A" w:rsidRDefault="00214A31" w:rsidP="00D42991">
      <w:pPr>
        <w:pStyle w:val="Normal1"/>
        <w:spacing w:line="480" w:lineRule="auto"/>
        <w:jc w:val="center"/>
        <w:rPr>
          <w:rFonts w:ascii="Times New Roman" w:eastAsia="Times New Roman" w:hAnsi="Times New Roman" w:cs="Times New Roman"/>
          <w:b/>
          <w:sz w:val="24"/>
          <w:szCs w:val="24"/>
          <w:vertAlign w:val="superscript"/>
        </w:rPr>
      </w:pPr>
      <w:r w:rsidRPr="0080252A">
        <w:rPr>
          <w:rFonts w:ascii="Times New Roman" w:eastAsia="Times New Roman" w:hAnsi="Times New Roman" w:cs="Times New Roman"/>
          <w:b/>
          <w:sz w:val="24"/>
          <w:szCs w:val="24"/>
        </w:rPr>
        <w:t>Nicole L. Arnold</w:t>
      </w:r>
      <w:r w:rsidR="00D42991" w:rsidRPr="0080252A">
        <w:rPr>
          <w:rFonts w:ascii="Times New Roman" w:eastAsia="Times New Roman" w:hAnsi="Times New Roman" w:cs="Times New Roman"/>
          <w:b/>
          <w:sz w:val="24"/>
          <w:szCs w:val="24"/>
        </w:rPr>
        <w:t>,</w:t>
      </w:r>
      <w:r w:rsidRPr="0080252A">
        <w:rPr>
          <w:rFonts w:ascii="Times New Roman" w:eastAsia="Times New Roman" w:hAnsi="Times New Roman" w:cs="Times New Roman"/>
          <w:b/>
          <w:sz w:val="24"/>
          <w:szCs w:val="24"/>
          <w:vertAlign w:val="superscript"/>
        </w:rPr>
        <w:t>1*</w:t>
      </w:r>
      <w:r w:rsidRPr="0080252A">
        <w:rPr>
          <w:rFonts w:ascii="Times New Roman" w:eastAsia="Times New Roman" w:hAnsi="Times New Roman" w:cs="Times New Roman"/>
          <w:b/>
          <w:sz w:val="24"/>
          <w:szCs w:val="24"/>
        </w:rPr>
        <w:t xml:space="preserve"> </w:t>
      </w:r>
      <w:r w:rsidR="00D81F1C">
        <w:rPr>
          <w:rFonts w:ascii="Times New Roman" w:eastAsia="Times New Roman" w:hAnsi="Times New Roman" w:cs="Times New Roman"/>
          <w:b/>
          <w:sz w:val="24"/>
          <w:szCs w:val="24"/>
        </w:rPr>
        <w:t xml:space="preserve">H. </w:t>
      </w:r>
      <w:r w:rsidRPr="0080252A">
        <w:rPr>
          <w:rFonts w:ascii="Times New Roman" w:eastAsia="Times New Roman" w:hAnsi="Times New Roman" w:cs="Times New Roman"/>
          <w:b/>
          <w:sz w:val="24"/>
          <w:szCs w:val="24"/>
        </w:rPr>
        <w:t>Lester Schonberger</w:t>
      </w:r>
      <w:r w:rsidR="00D42991" w:rsidRPr="0080252A">
        <w:rPr>
          <w:rFonts w:ascii="Times New Roman" w:eastAsia="Times New Roman" w:hAnsi="Times New Roman" w:cs="Times New Roman"/>
          <w:b/>
          <w:sz w:val="24"/>
          <w:szCs w:val="24"/>
        </w:rPr>
        <w:t>,</w:t>
      </w:r>
      <w:r w:rsidRPr="0080252A">
        <w:rPr>
          <w:rFonts w:ascii="Times New Roman" w:eastAsia="Times New Roman" w:hAnsi="Times New Roman" w:cs="Times New Roman"/>
          <w:b/>
          <w:sz w:val="24"/>
          <w:szCs w:val="24"/>
          <w:vertAlign w:val="superscript"/>
        </w:rPr>
        <w:t>2</w:t>
      </w:r>
      <w:r w:rsidRPr="0080252A">
        <w:rPr>
          <w:rFonts w:ascii="Times New Roman" w:eastAsia="Times New Roman" w:hAnsi="Times New Roman" w:cs="Times New Roman"/>
          <w:b/>
          <w:sz w:val="24"/>
          <w:szCs w:val="24"/>
        </w:rPr>
        <w:t xml:space="preserve"> Angela Ferelli</w:t>
      </w:r>
      <w:r w:rsidR="00D42991" w:rsidRPr="0080252A">
        <w:rPr>
          <w:rFonts w:ascii="Times New Roman" w:eastAsia="Times New Roman" w:hAnsi="Times New Roman" w:cs="Times New Roman"/>
          <w:b/>
          <w:sz w:val="24"/>
          <w:szCs w:val="24"/>
        </w:rPr>
        <w:t>,</w:t>
      </w:r>
      <w:r w:rsidRPr="0080252A">
        <w:rPr>
          <w:rFonts w:ascii="Times New Roman" w:eastAsia="Times New Roman" w:hAnsi="Times New Roman" w:cs="Times New Roman"/>
          <w:b/>
          <w:sz w:val="24"/>
          <w:szCs w:val="24"/>
          <w:vertAlign w:val="superscript"/>
        </w:rPr>
        <w:t>3</w:t>
      </w:r>
      <w:r w:rsidRPr="0080252A">
        <w:rPr>
          <w:rFonts w:ascii="Times New Roman" w:eastAsia="Times New Roman" w:hAnsi="Times New Roman" w:cs="Times New Roman"/>
          <w:b/>
          <w:sz w:val="24"/>
          <w:szCs w:val="24"/>
        </w:rPr>
        <w:t xml:space="preserve"> Sarah I. Murphy</w:t>
      </w:r>
      <w:r w:rsidR="00D42991" w:rsidRPr="0080252A">
        <w:rPr>
          <w:rFonts w:ascii="Times New Roman" w:eastAsia="Times New Roman" w:hAnsi="Times New Roman" w:cs="Times New Roman"/>
          <w:b/>
          <w:sz w:val="24"/>
          <w:szCs w:val="24"/>
        </w:rPr>
        <w:t>,</w:t>
      </w:r>
      <w:proofErr w:type="gramStart"/>
      <w:r w:rsidRPr="0080252A">
        <w:rPr>
          <w:rFonts w:ascii="Times New Roman" w:eastAsia="Times New Roman" w:hAnsi="Times New Roman" w:cs="Times New Roman"/>
          <w:b/>
          <w:sz w:val="24"/>
          <w:szCs w:val="24"/>
          <w:vertAlign w:val="superscript"/>
        </w:rPr>
        <w:t>4</w:t>
      </w:r>
      <w:proofErr w:type="gramEnd"/>
      <w:r w:rsidRPr="0080252A">
        <w:rPr>
          <w:rFonts w:ascii="Times New Roman" w:eastAsia="Times New Roman" w:hAnsi="Times New Roman" w:cs="Times New Roman"/>
          <w:b/>
          <w:sz w:val="24"/>
          <w:szCs w:val="24"/>
        </w:rPr>
        <w:t xml:space="preserve"> and Lily</w:t>
      </w:r>
      <w:r w:rsidR="00D433C3">
        <w:rPr>
          <w:rFonts w:ascii="Times New Roman" w:eastAsia="Times New Roman" w:hAnsi="Times New Roman" w:cs="Times New Roman"/>
          <w:b/>
          <w:sz w:val="24"/>
          <w:szCs w:val="24"/>
        </w:rPr>
        <w:t xml:space="preserve"> L.</w:t>
      </w:r>
      <w:r w:rsidRPr="0080252A">
        <w:rPr>
          <w:rFonts w:ascii="Times New Roman" w:eastAsia="Times New Roman" w:hAnsi="Times New Roman" w:cs="Times New Roman"/>
          <w:b/>
          <w:sz w:val="24"/>
          <w:szCs w:val="24"/>
        </w:rPr>
        <w:t xml:space="preserve"> Yang</w:t>
      </w:r>
      <w:r w:rsidRPr="0080252A">
        <w:rPr>
          <w:rFonts w:ascii="Times New Roman" w:eastAsia="Times New Roman" w:hAnsi="Times New Roman" w:cs="Times New Roman"/>
          <w:b/>
          <w:sz w:val="24"/>
          <w:szCs w:val="24"/>
          <w:vertAlign w:val="superscript"/>
        </w:rPr>
        <w:t>5</w:t>
      </w:r>
    </w:p>
    <w:p w14:paraId="1F701B51" w14:textId="3E4CB4EE" w:rsidR="00D42991" w:rsidRDefault="00D42991" w:rsidP="00D42991">
      <w:pPr>
        <w:pStyle w:val="Normal1"/>
        <w:spacing w:line="480" w:lineRule="auto"/>
        <w:jc w:val="center"/>
        <w:rPr>
          <w:rFonts w:ascii="Times New Roman" w:eastAsia="Times New Roman" w:hAnsi="Times New Roman" w:cs="Times New Roman"/>
          <w:sz w:val="24"/>
          <w:szCs w:val="24"/>
          <w:vertAlign w:val="superscript"/>
        </w:rPr>
      </w:pPr>
    </w:p>
    <w:p w14:paraId="1FC5D81E" w14:textId="77777777" w:rsidR="00D42991" w:rsidRDefault="00D42991" w:rsidP="0080252A">
      <w:pPr>
        <w:pStyle w:val="Normal1"/>
        <w:spacing w:line="480" w:lineRule="auto"/>
        <w:jc w:val="center"/>
        <w:rPr>
          <w:rFonts w:ascii="Times New Roman" w:eastAsia="Times New Roman" w:hAnsi="Times New Roman" w:cs="Times New Roman"/>
          <w:sz w:val="24"/>
          <w:szCs w:val="24"/>
          <w:vertAlign w:val="superscript"/>
        </w:rPr>
      </w:pPr>
    </w:p>
    <w:p w14:paraId="0000000B" w14:textId="3AB202C9" w:rsidR="00A014FB" w:rsidRDefault="00D42991" w:rsidP="0080252A">
      <w:pPr>
        <w:pStyle w:val="Normal1"/>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xml:space="preserve">Dept. </w:t>
      </w:r>
      <w:r w:rsidR="00214A31">
        <w:rPr>
          <w:rFonts w:ascii="Times New Roman" w:eastAsia="Times New Roman" w:hAnsi="Times New Roman" w:cs="Times New Roman"/>
          <w:sz w:val="24"/>
          <w:szCs w:val="24"/>
        </w:rPr>
        <w:t xml:space="preserve">of Nutrition Science, East Carolina University, </w:t>
      </w:r>
      <w:r w:rsidR="00214A31">
        <w:rPr>
          <w:rFonts w:ascii="Times New Roman" w:eastAsia="Times New Roman" w:hAnsi="Times New Roman" w:cs="Times New Roman"/>
          <w:color w:val="212529"/>
          <w:sz w:val="24"/>
          <w:szCs w:val="24"/>
          <w:highlight w:val="white"/>
        </w:rPr>
        <w:t>Health Sciences Building 2435B, Greenville, NC 27858, USA</w:t>
      </w:r>
      <w:r>
        <w:rPr>
          <w:rFonts w:ascii="Times New Roman" w:eastAsia="Times New Roman" w:hAnsi="Times New Roman" w:cs="Times New Roman"/>
          <w:color w:val="212529"/>
          <w:sz w:val="24"/>
          <w:szCs w:val="24"/>
          <w:highlight w:val="white"/>
        </w:rPr>
        <w:t>;</w:t>
      </w:r>
      <w:r>
        <w:rPr>
          <w:rFonts w:ascii="Times New Roman" w:eastAsia="Times New Roman" w:hAnsi="Times New Roman" w:cs="Times New Roman"/>
          <w:sz w:val="24"/>
          <w:szCs w:val="24"/>
          <w:vertAlign w:val="superscript"/>
        </w:rPr>
        <w:t xml:space="preserve"> 2</w:t>
      </w:r>
      <w:r>
        <w:rPr>
          <w:rFonts w:ascii="Times New Roman" w:eastAsia="Times New Roman" w:hAnsi="Times New Roman" w:cs="Times New Roman"/>
          <w:sz w:val="24"/>
          <w:szCs w:val="24"/>
        </w:rPr>
        <w:t xml:space="preserve">Dept. </w:t>
      </w:r>
      <w:r w:rsidR="00214A31">
        <w:rPr>
          <w:rFonts w:ascii="Times New Roman" w:eastAsia="Times New Roman" w:hAnsi="Times New Roman" w:cs="Times New Roman"/>
          <w:sz w:val="24"/>
          <w:szCs w:val="24"/>
        </w:rPr>
        <w:t xml:space="preserve">of Food Science &amp; Technology, Virginia Tech, 401 HABB1, 1230 Washington </w:t>
      </w:r>
      <w:r>
        <w:rPr>
          <w:rFonts w:ascii="Times New Roman" w:eastAsia="Times New Roman" w:hAnsi="Times New Roman" w:cs="Times New Roman"/>
          <w:sz w:val="24"/>
          <w:szCs w:val="24"/>
        </w:rPr>
        <w:t>St.</w:t>
      </w:r>
      <w:r w:rsidR="00214A31">
        <w:rPr>
          <w:rFonts w:ascii="Times New Roman" w:eastAsia="Times New Roman" w:hAnsi="Times New Roman" w:cs="Times New Roman"/>
          <w:sz w:val="24"/>
          <w:szCs w:val="24"/>
        </w:rPr>
        <w:t>, SW, Blacksburg, VA 24061, USA</w:t>
      </w:r>
      <w:r>
        <w:rPr>
          <w:rFonts w:ascii="Times New Roman" w:eastAsia="Times New Roman" w:hAnsi="Times New Roman" w:cs="Times New Roman"/>
          <w:sz w:val="24"/>
          <w:szCs w:val="24"/>
          <w:vertAlign w:val="superscript"/>
        </w:rPr>
        <w:t xml:space="preserve"> 3</w:t>
      </w:r>
      <w:r>
        <w:rPr>
          <w:rFonts w:ascii="Times New Roman" w:eastAsia="Times New Roman" w:hAnsi="Times New Roman" w:cs="Times New Roman"/>
          <w:sz w:val="24"/>
          <w:szCs w:val="24"/>
        </w:rPr>
        <w:t xml:space="preserve">Dept. </w:t>
      </w:r>
      <w:r w:rsidR="00214A31">
        <w:rPr>
          <w:rFonts w:ascii="Times New Roman" w:eastAsia="Times New Roman" w:hAnsi="Times New Roman" w:cs="Times New Roman"/>
          <w:sz w:val="24"/>
          <w:szCs w:val="24"/>
        </w:rPr>
        <w:t>of Plant Science &amp; Landscape Architecture, University of Maryland, 2125 Plant Sciences Building, College Park, MD 20742, USA</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t xml:space="preserve"> 4</w:t>
      </w:r>
      <w:r>
        <w:rPr>
          <w:rFonts w:ascii="Times New Roman" w:eastAsia="Times New Roman" w:hAnsi="Times New Roman" w:cs="Times New Roman"/>
          <w:sz w:val="24"/>
          <w:szCs w:val="24"/>
        </w:rPr>
        <w:t xml:space="preserve">Dept. </w:t>
      </w:r>
      <w:r w:rsidR="00214A31">
        <w:rPr>
          <w:rFonts w:ascii="Times New Roman" w:eastAsia="Times New Roman" w:hAnsi="Times New Roman" w:cs="Times New Roman"/>
          <w:sz w:val="24"/>
          <w:szCs w:val="24"/>
        </w:rPr>
        <w:t>of Population Medicine &amp; Diagnostic Sciences, College of Veterinary Medicine, Cornell University, S1-020 Schurman Hall, Ithaca, NY 14853, USA</w:t>
      </w:r>
      <w:r>
        <w:rPr>
          <w:rFonts w:ascii="Times New Roman" w:eastAsia="Times New Roman" w:hAnsi="Times New Roman" w:cs="Times New Roman"/>
          <w:sz w:val="24"/>
          <w:szCs w:val="24"/>
        </w:rPr>
        <w:t>; and</w:t>
      </w:r>
      <w:r>
        <w:rPr>
          <w:rFonts w:ascii="Times New Roman" w:eastAsia="Times New Roman" w:hAnsi="Times New Roman" w:cs="Times New Roman"/>
          <w:sz w:val="24"/>
          <w:szCs w:val="24"/>
          <w:vertAlign w:val="superscript"/>
        </w:rPr>
        <w:t xml:space="preserve"> </w:t>
      </w:r>
      <w:r w:rsidR="00214A31">
        <w:rPr>
          <w:rFonts w:ascii="Times New Roman" w:eastAsia="Times New Roman" w:hAnsi="Times New Roman" w:cs="Times New Roman"/>
          <w:sz w:val="24"/>
          <w:szCs w:val="24"/>
          <w:vertAlign w:val="superscript"/>
        </w:rPr>
        <w:t>5</w:t>
      </w:r>
      <w:r w:rsidR="00214A31">
        <w:rPr>
          <w:rFonts w:ascii="Times New Roman" w:eastAsia="Times New Roman" w:hAnsi="Times New Roman" w:cs="Times New Roman"/>
          <w:sz w:val="24"/>
          <w:szCs w:val="24"/>
        </w:rPr>
        <w:t>The Acheson Group [TAG], 2748 Cloyster Court, Kalamazoo, MI 49008, USA</w:t>
      </w:r>
    </w:p>
    <w:p w14:paraId="0000000C" w14:textId="77777777" w:rsidR="00A014FB" w:rsidRDefault="00A014FB" w:rsidP="0080252A">
      <w:pPr>
        <w:pStyle w:val="Normal1"/>
        <w:spacing w:line="480" w:lineRule="auto"/>
        <w:rPr>
          <w:rFonts w:ascii="Times New Roman" w:eastAsia="Times New Roman" w:hAnsi="Times New Roman" w:cs="Times New Roman"/>
          <w:color w:val="212529"/>
          <w:sz w:val="24"/>
          <w:szCs w:val="24"/>
          <w:highlight w:val="white"/>
        </w:rPr>
      </w:pPr>
    </w:p>
    <w:p w14:paraId="0000000D" w14:textId="77777777" w:rsidR="00A014FB" w:rsidRDefault="00A014FB" w:rsidP="00D42991">
      <w:pPr>
        <w:pStyle w:val="Normal1"/>
        <w:spacing w:line="480" w:lineRule="auto"/>
        <w:rPr>
          <w:rFonts w:ascii="Times New Roman" w:eastAsia="Times New Roman" w:hAnsi="Times New Roman" w:cs="Times New Roman"/>
          <w:b/>
          <w:sz w:val="24"/>
          <w:szCs w:val="24"/>
        </w:rPr>
      </w:pPr>
    </w:p>
    <w:p w14:paraId="00000010" w14:textId="77777777" w:rsidR="00A014FB" w:rsidRDefault="00A014FB">
      <w:pPr>
        <w:pStyle w:val="Normal1"/>
        <w:spacing w:line="480" w:lineRule="auto"/>
        <w:rPr>
          <w:rFonts w:ascii="Times New Roman" w:eastAsia="Times New Roman" w:hAnsi="Times New Roman" w:cs="Times New Roman"/>
          <w:b/>
          <w:sz w:val="24"/>
          <w:szCs w:val="24"/>
        </w:rPr>
      </w:pPr>
    </w:p>
    <w:p w14:paraId="00000011" w14:textId="77777777" w:rsidR="00A014FB" w:rsidRDefault="00A014FB">
      <w:pPr>
        <w:pStyle w:val="Normal1"/>
        <w:spacing w:line="480" w:lineRule="auto"/>
        <w:rPr>
          <w:rFonts w:ascii="Times New Roman" w:eastAsia="Times New Roman" w:hAnsi="Times New Roman" w:cs="Times New Roman"/>
          <w:b/>
          <w:sz w:val="24"/>
          <w:szCs w:val="24"/>
        </w:rPr>
      </w:pPr>
    </w:p>
    <w:p w14:paraId="00000012" w14:textId="77777777" w:rsidR="00A014FB" w:rsidRDefault="00A014FB">
      <w:pPr>
        <w:pStyle w:val="Normal1"/>
        <w:spacing w:line="480" w:lineRule="auto"/>
        <w:rPr>
          <w:rFonts w:ascii="Times New Roman" w:eastAsia="Times New Roman" w:hAnsi="Times New Roman" w:cs="Times New Roman"/>
          <w:b/>
          <w:sz w:val="24"/>
          <w:szCs w:val="24"/>
        </w:rPr>
      </w:pPr>
    </w:p>
    <w:p w14:paraId="00000013" w14:textId="77777777" w:rsidR="00A014FB" w:rsidRDefault="00A014FB">
      <w:pPr>
        <w:pStyle w:val="Normal1"/>
        <w:spacing w:line="480" w:lineRule="auto"/>
        <w:rPr>
          <w:rFonts w:ascii="Times New Roman" w:eastAsia="Times New Roman" w:hAnsi="Times New Roman" w:cs="Times New Roman"/>
          <w:sz w:val="24"/>
          <w:szCs w:val="24"/>
        </w:rPr>
      </w:pPr>
    </w:p>
    <w:p w14:paraId="00000014" w14:textId="003D026D" w:rsidR="00A014FB" w:rsidRDefault="00D42991" w:rsidP="0080252A">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214A31">
        <w:rPr>
          <w:rFonts w:ascii="Times New Roman" w:eastAsia="Times New Roman" w:hAnsi="Times New Roman" w:cs="Times New Roman"/>
          <w:sz w:val="24"/>
          <w:szCs w:val="24"/>
        </w:rPr>
        <w:t xml:space="preserve">Corresponding author: </w:t>
      </w:r>
    </w:p>
    <w:p w14:paraId="00000015" w14:textId="5A219BB4" w:rsidR="00A014FB" w:rsidRDefault="00D42991" w:rsidP="0080252A">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Telephone: +1 252.744.1026</w:t>
      </w:r>
    </w:p>
    <w:p w14:paraId="00000016" w14:textId="237329C2" w:rsidR="00A014FB" w:rsidRDefault="00D42991" w:rsidP="0080252A">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Email: </w:t>
      </w:r>
      <w:r w:rsidR="00214A31">
        <w:rPr>
          <w:rFonts w:ascii="Times New Roman" w:eastAsia="Times New Roman" w:hAnsi="Times New Roman" w:cs="Times New Roman"/>
          <w:sz w:val="24"/>
          <w:szCs w:val="24"/>
        </w:rPr>
        <w:t>arnoldni19@ecu.edu</w:t>
      </w:r>
    </w:p>
    <w:p w14:paraId="00000018" w14:textId="77777777" w:rsidR="00A014FB" w:rsidRDefault="00A014FB" w:rsidP="00314FD6">
      <w:pPr>
        <w:pStyle w:val="Normal1"/>
        <w:spacing w:line="480" w:lineRule="auto"/>
        <w:rPr>
          <w:rFonts w:ascii="Times New Roman" w:eastAsia="Times New Roman" w:hAnsi="Times New Roman" w:cs="Times New Roman"/>
          <w:b/>
          <w:sz w:val="24"/>
          <w:szCs w:val="24"/>
        </w:rPr>
      </w:pPr>
    </w:p>
    <w:p w14:paraId="0000001C" w14:textId="77777777" w:rsidR="00A014FB" w:rsidRDefault="00214A31">
      <w:pPr>
        <w:pStyle w:val="Normal1"/>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ABSTRACT</w:t>
      </w:r>
    </w:p>
    <w:p w14:paraId="0000001D" w14:textId="77777777" w:rsidR="00A014FB" w:rsidRDefault="00214A3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Originally established to address agricultural needs by applying research and education in location U.S. communities, the Cooperative Extension System (CES) has become increasingly involved in food safety through the supply chain. CES plays an integral role in food safety through consumer education, food employee training, regulatory guidance, and agricultural education for youth and students. CES food safety efforts have evolved to respond to current events and evolving public needs; subsequently, CES personnel communicated a myriad of challenges, including overextension within their roles, dwindling financial support, and pedagogical shifts. As a result, CES personnel have opted for creative, innovative, and timely solutions that can be harnessed by others with ties to CES.  This article, based on a roundtable with Extension experts on “Revitalizing the Future of Food Safety Extension” held at the 2019 International Association for Food Protection Annual Meeting detailing this imperative. This article serves as 1) a consolidated framework resource for educational purposes; 2) an invitation to collaborate with food safety CES personnel; and 3) a call for support and advocacy for CES and those within it. This summary highlights the value and impact CES has, and will continue to have, in making food safer and more equitable.</w:t>
      </w:r>
    </w:p>
    <w:p w14:paraId="0000001E" w14:textId="77777777" w:rsidR="00A014FB" w:rsidRDefault="00A014FB">
      <w:pPr>
        <w:pStyle w:val="Normal1"/>
        <w:spacing w:line="480" w:lineRule="auto"/>
        <w:rPr>
          <w:rFonts w:ascii="Times New Roman" w:eastAsia="Times New Roman" w:hAnsi="Times New Roman" w:cs="Times New Roman"/>
          <w:b/>
          <w:sz w:val="24"/>
          <w:szCs w:val="24"/>
          <w:highlight w:val="yellow"/>
        </w:rPr>
      </w:pPr>
    </w:p>
    <w:p w14:paraId="0000001F" w14:textId="77777777" w:rsidR="00A014FB" w:rsidRDefault="00A014FB">
      <w:pPr>
        <w:pStyle w:val="Normal1"/>
        <w:spacing w:line="480" w:lineRule="auto"/>
        <w:rPr>
          <w:rFonts w:ascii="Times New Roman" w:eastAsia="Times New Roman" w:hAnsi="Times New Roman" w:cs="Times New Roman"/>
          <w:b/>
          <w:sz w:val="24"/>
          <w:szCs w:val="24"/>
        </w:rPr>
      </w:pPr>
    </w:p>
    <w:p w14:paraId="00000020" w14:textId="77777777" w:rsidR="00A014FB" w:rsidRDefault="00A014FB">
      <w:pPr>
        <w:pStyle w:val="Normal1"/>
        <w:spacing w:line="480" w:lineRule="auto"/>
        <w:rPr>
          <w:rFonts w:ascii="Times New Roman" w:eastAsia="Times New Roman" w:hAnsi="Times New Roman" w:cs="Times New Roman"/>
          <w:b/>
          <w:sz w:val="24"/>
          <w:szCs w:val="24"/>
        </w:rPr>
      </w:pPr>
    </w:p>
    <w:p w14:paraId="00000021" w14:textId="77777777" w:rsidR="00A014FB" w:rsidRDefault="00A014FB">
      <w:pPr>
        <w:pStyle w:val="Normal1"/>
        <w:spacing w:line="480" w:lineRule="auto"/>
        <w:rPr>
          <w:rFonts w:ascii="Times New Roman" w:eastAsia="Times New Roman" w:hAnsi="Times New Roman" w:cs="Times New Roman"/>
          <w:b/>
          <w:sz w:val="24"/>
          <w:szCs w:val="24"/>
        </w:rPr>
      </w:pPr>
    </w:p>
    <w:p w14:paraId="00000022" w14:textId="77777777" w:rsidR="00A014FB" w:rsidRDefault="00A014FB">
      <w:pPr>
        <w:pStyle w:val="Normal1"/>
        <w:spacing w:line="480" w:lineRule="auto"/>
        <w:rPr>
          <w:rFonts w:ascii="Times New Roman" w:eastAsia="Times New Roman" w:hAnsi="Times New Roman" w:cs="Times New Roman"/>
          <w:b/>
          <w:sz w:val="24"/>
          <w:szCs w:val="24"/>
        </w:rPr>
      </w:pPr>
    </w:p>
    <w:p w14:paraId="00000023" w14:textId="77777777" w:rsidR="00A014FB" w:rsidRDefault="00A014FB">
      <w:pPr>
        <w:pStyle w:val="Normal1"/>
        <w:spacing w:line="480" w:lineRule="auto"/>
        <w:rPr>
          <w:rFonts w:ascii="Times New Roman" w:eastAsia="Times New Roman" w:hAnsi="Times New Roman" w:cs="Times New Roman"/>
          <w:b/>
          <w:sz w:val="24"/>
          <w:szCs w:val="24"/>
        </w:rPr>
      </w:pPr>
    </w:p>
    <w:p w14:paraId="68CB4306" w14:textId="77777777" w:rsidR="00214A31" w:rsidRDefault="00214A31">
      <w:pPr>
        <w:pStyle w:val="Normal1"/>
        <w:spacing w:line="480" w:lineRule="auto"/>
        <w:rPr>
          <w:rFonts w:ascii="Times New Roman" w:eastAsia="Times New Roman" w:hAnsi="Times New Roman" w:cs="Times New Roman"/>
          <w:b/>
          <w:sz w:val="24"/>
          <w:szCs w:val="24"/>
        </w:rPr>
      </w:pPr>
    </w:p>
    <w:p w14:paraId="00000024" w14:textId="77777777" w:rsidR="00A014FB" w:rsidRDefault="00214A31">
      <w:pPr>
        <w:pStyle w:val="Normal1"/>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INTRODUCTION</w:t>
      </w:r>
    </w:p>
    <w:p w14:paraId="00000025" w14:textId="77777777" w:rsidR="00A014FB" w:rsidRDefault="00214A3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Cooperative Extension System (CES) was formally established in 1914 (Smith-Lever Act) to address rural agricultural needs through research and education in the United States (U.S.) </w:t>
      </w:r>
      <w:r>
        <w:rPr>
          <w:rFonts w:ascii="Times New Roman" w:eastAsia="Times New Roman" w:hAnsi="Times New Roman" w:cs="Times New Roman"/>
          <w:i/>
          <w:sz w:val="24"/>
          <w:szCs w:val="24"/>
        </w:rPr>
        <w:t>(20)</w:t>
      </w:r>
      <w:r>
        <w:rPr>
          <w:rFonts w:ascii="Times New Roman" w:eastAsia="Times New Roman" w:hAnsi="Times New Roman" w:cs="Times New Roman"/>
          <w:sz w:val="24"/>
          <w:szCs w:val="24"/>
        </w:rPr>
        <w:t xml:space="preserve">. From these roots, CES has contributed significantly to the transformation of the U.S. and expanded to influence global agriculture systems. CES started as a “boots-on-the-ground” service, primarily involving CES personnel supporting farmers to increase production efficiency to ensure a safe and reliable food supply. Since then, CES has evolved into a wide-reaching organization, through targeted programming (e.g., soil management, integrated pest management, agriculture marketing) in rural and urban areas for diverse stakeholders. </w:t>
      </w:r>
    </w:p>
    <w:p w14:paraId="00000026" w14:textId="77777777"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Over the last century, CES has become increasingly involved in the promotion of food safety through the supply chain </w:t>
      </w:r>
      <w:r>
        <w:rPr>
          <w:rFonts w:ascii="Times New Roman" w:eastAsia="Times New Roman" w:hAnsi="Times New Roman" w:cs="Times New Roman"/>
          <w:i/>
          <w:sz w:val="24"/>
          <w:szCs w:val="24"/>
        </w:rPr>
        <w:t>(38)</w:t>
      </w:r>
      <w:r>
        <w:rPr>
          <w:rFonts w:ascii="Times New Roman" w:eastAsia="Times New Roman" w:hAnsi="Times New Roman" w:cs="Times New Roman"/>
          <w:sz w:val="24"/>
          <w:szCs w:val="24"/>
        </w:rPr>
        <w:t>. Initially, the role of food safety training in the food industry was the responsibility of industry professionals. For example, in preparation for the 1973 low-acid food processing</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regulations issued after </w:t>
      </w:r>
      <w:r>
        <w:rPr>
          <w:rFonts w:ascii="Times New Roman" w:eastAsia="Times New Roman" w:hAnsi="Times New Roman" w:cs="Times New Roman"/>
          <w:i/>
          <w:sz w:val="24"/>
          <w:szCs w:val="24"/>
        </w:rPr>
        <w:t>Clostridium botulinum</w:t>
      </w:r>
      <w:r>
        <w:rPr>
          <w:rFonts w:ascii="Times New Roman" w:eastAsia="Times New Roman" w:hAnsi="Times New Roman" w:cs="Times New Roman"/>
          <w:sz w:val="24"/>
          <w:szCs w:val="24"/>
        </w:rPr>
        <w:t xml:space="preserve"> outbreaks from canned foods, Pillsbury taught the first Hazard Analysis Critical Control Point (HACCP) courses to U.S. Food &amp; Drug Administration (FDA) inspectors in 1972 </w:t>
      </w:r>
      <w:r>
        <w:rPr>
          <w:rFonts w:ascii="Times New Roman" w:eastAsia="Times New Roman" w:hAnsi="Times New Roman" w:cs="Times New Roman"/>
          <w:i/>
          <w:sz w:val="24"/>
          <w:szCs w:val="24"/>
        </w:rPr>
        <w:t>(7, 51)</w:t>
      </w:r>
      <w:r>
        <w:rPr>
          <w:rFonts w:ascii="Times New Roman" w:eastAsia="Times New Roman" w:hAnsi="Times New Roman" w:cs="Times New Roman"/>
          <w:sz w:val="24"/>
          <w:szCs w:val="24"/>
        </w:rPr>
        <w:t xml:space="preserve">. In 1994, the International HACCP Alliance, based at Texas A&amp;M University, was founded to establish a more uniform food safety program for meat and poultry operations to improve product food safety, bringing together industry, academics, and government collaborators with a common goal </w:t>
      </w:r>
      <w:r>
        <w:rPr>
          <w:rFonts w:ascii="Times New Roman" w:eastAsia="Times New Roman" w:hAnsi="Times New Roman" w:cs="Times New Roman"/>
          <w:i/>
          <w:sz w:val="24"/>
          <w:szCs w:val="24"/>
        </w:rPr>
        <w:t>(49)</w:t>
      </w:r>
      <w:r>
        <w:rPr>
          <w:rFonts w:ascii="Times New Roman" w:eastAsia="Times New Roman" w:hAnsi="Times New Roman" w:cs="Times New Roman"/>
          <w:sz w:val="24"/>
          <w:szCs w:val="24"/>
        </w:rPr>
        <w:t xml:space="preserve">. Just a few years later, in 1998, the FDA published the “Guide to Minimize Food Safety Hazards for Fresh Fruits and Vegetables”, which would serve as the standard for voluntary market access audits – the Good Agricultural Practices (GAPs) certification </w:t>
      </w:r>
      <w:r>
        <w:rPr>
          <w:rFonts w:ascii="Times New Roman" w:eastAsia="Times New Roman" w:hAnsi="Times New Roman" w:cs="Times New Roman"/>
          <w:i/>
          <w:sz w:val="24"/>
          <w:szCs w:val="24"/>
        </w:rPr>
        <w:t>(42)</w:t>
      </w:r>
      <w:r>
        <w:rPr>
          <w:rFonts w:ascii="Times New Roman" w:eastAsia="Times New Roman" w:hAnsi="Times New Roman" w:cs="Times New Roman"/>
          <w:sz w:val="24"/>
          <w:szCs w:val="24"/>
        </w:rPr>
        <w:t xml:space="preserve">. To assist farmers in passing audits, many universities received grants from the U.S. Department of Agriculture’s (USDA) </w:t>
      </w:r>
      <w:r>
        <w:rPr>
          <w:rFonts w:ascii="Times New Roman" w:eastAsia="Times New Roman" w:hAnsi="Times New Roman" w:cs="Times New Roman"/>
          <w:sz w:val="24"/>
          <w:szCs w:val="24"/>
        </w:rPr>
        <w:lastRenderedPageBreak/>
        <w:t xml:space="preserve">Cooperative State, Research, Education, and Extension Service’s National Integrated Food Safety Initiative (CSREES- NIFSI; now known as the National Institute of Food and Agriculture [NIFA]) to develop GAPs educational programs. Most notable of these was the creation of the National GAPs Program in 1999, based at Cornell University </w:t>
      </w:r>
      <w:r>
        <w:rPr>
          <w:rFonts w:ascii="Times New Roman" w:eastAsia="Times New Roman" w:hAnsi="Times New Roman" w:cs="Times New Roman"/>
          <w:i/>
          <w:sz w:val="24"/>
          <w:szCs w:val="24"/>
        </w:rPr>
        <w:t>(6)</w:t>
      </w:r>
      <w:r>
        <w:rPr>
          <w:rFonts w:ascii="Times New Roman" w:eastAsia="Times New Roman" w:hAnsi="Times New Roman" w:cs="Times New Roman"/>
          <w:sz w:val="24"/>
          <w:szCs w:val="24"/>
        </w:rPr>
        <w:t xml:space="preserve">. </w:t>
      </w:r>
    </w:p>
    <w:p w14:paraId="00000027" w14:textId="77777777"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Considered the most sweeping change to food regulation since the 1938 Food, Drug and Cosmetic Act, the Food Safety Modernization Act (FSMA) (2011) further emphasized the value and importance of CES. Broken into seven major principles, FSMA outlines the minimum standards for food suppliers: human food; animal food; produce; third party audit verifications; protection against intentional adulteration; and sanitary transportation </w:t>
      </w:r>
      <w:r>
        <w:rPr>
          <w:rFonts w:ascii="Times New Roman" w:eastAsia="Times New Roman" w:hAnsi="Times New Roman" w:cs="Times New Roman"/>
          <w:i/>
          <w:sz w:val="24"/>
          <w:szCs w:val="24"/>
        </w:rPr>
        <w:t>(40,44)</w:t>
      </w:r>
      <w:r>
        <w:rPr>
          <w:rFonts w:ascii="Times New Roman" w:eastAsia="Times New Roman" w:hAnsi="Times New Roman" w:cs="Times New Roman"/>
          <w:sz w:val="24"/>
          <w:szCs w:val="24"/>
        </w:rPr>
        <w:t xml:space="preserve">. This reform catalyzed many opportunities for CES to provide regulatory literacy to producers, while advancing their compliance with the legislation. Since then, CES continues to collaborate closely through industry, government, and academic consortia to tackle educational opportunities like Foreign Supplier Verification Programs for Importers of Food for Humans and Animals (FSVP); Current Good Manufacturing Practice and Hazard Analysis and Risk-Based Preventive Controls for Human Food (PCHF); Current Good Manufacturing Practice and Hazard Analysis and Risk-Based Preventive Controls for Animal Food (PCAF); Mitigation Strategies to Protect Food Against Intentional Adulteration (IA); and Standards for the Growing, Harvesting, Packing, and Holding of Produce for Human Consumption (Produce Safety Rule (PSR)) to further align the regulations set by government, industry needs, and academic research. For instance, the Produce Safety Alliance (PSA), a cooperative agreement (grant no. 12-25-A-5357) between Cornell University, USDA, and FDA, provides produce safety education and technical assistance to producers who must comply with the Produce Safety Rule </w:t>
      </w:r>
      <w:r>
        <w:rPr>
          <w:rFonts w:ascii="Times New Roman" w:eastAsia="Times New Roman" w:hAnsi="Times New Roman" w:cs="Times New Roman"/>
          <w:i/>
          <w:sz w:val="24"/>
          <w:szCs w:val="24"/>
        </w:rPr>
        <w:t>(32)</w:t>
      </w:r>
      <w:r>
        <w:rPr>
          <w:rFonts w:ascii="Times New Roman" w:eastAsia="Times New Roman" w:hAnsi="Times New Roman" w:cs="Times New Roman"/>
          <w:sz w:val="24"/>
          <w:szCs w:val="24"/>
        </w:rPr>
        <w:t xml:space="preserve">. The PSA has also leveraged its regulatory literacy to serve as an educational resource repository for applying PSR regulation. </w:t>
      </w:r>
      <w:r>
        <w:rPr>
          <w:rFonts w:ascii="Times New Roman" w:eastAsia="Times New Roman" w:hAnsi="Times New Roman" w:cs="Times New Roman"/>
          <w:sz w:val="24"/>
          <w:szCs w:val="24"/>
        </w:rPr>
        <w:lastRenderedPageBreak/>
        <w:t xml:space="preserve">For example, the first pilot PSA “grower training” for the Produce Safety Rule was held for 33 growers in 2015 </w:t>
      </w:r>
      <w:r>
        <w:rPr>
          <w:rFonts w:ascii="Times New Roman" w:eastAsia="Times New Roman" w:hAnsi="Times New Roman" w:cs="Times New Roman"/>
          <w:i/>
          <w:sz w:val="24"/>
          <w:szCs w:val="24"/>
        </w:rPr>
        <w:t>(29)</w:t>
      </w:r>
      <w:r>
        <w:rPr>
          <w:rFonts w:ascii="Times New Roman" w:eastAsia="Times New Roman" w:hAnsi="Times New Roman" w:cs="Times New Roman"/>
          <w:sz w:val="24"/>
          <w:szCs w:val="24"/>
        </w:rPr>
        <w:t xml:space="preserve">.  Since then, the PSA Grower Trainings, often taught by CES educators in collaboration with state departments of agriculture, have educated over 40,000 domestic and 20,000 international participants </w:t>
      </w:r>
      <w:r>
        <w:rPr>
          <w:rFonts w:ascii="Times New Roman" w:eastAsia="Times New Roman" w:hAnsi="Times New Roman" w:cs="Times New Roman"/>
          <w:i/>
          <w:sz w:val="24"/>
          <w:szCs w:val="24"/>
        </w:rPr>
        <w:t>(34)</w:t>
      </w:r>
      <w:r>
        <w:rPr>
          <w:rFonts w:ascii="Times New Roman" w:eastAsia="Times New Roman" w:hAnsi="Times New Roman" w:cs="Times New Roman"/>
          <w:sz w:val="24"/>
          <w:szCs w:val="24"/>
        </w:rPr>
        <w:t>.</w:t>
      </w:r>
    </w:p>
    <w:p w14:paraId="00000028" w14:textId="77777777" w:rsidR="00A014FB" w:rsidRDefault="00214A31">
      <w:pPr>
        <w:pStyle w:val="Normal1"/>
        <w:spacing w:line="480" w:lineRule="auto"/>
        <w:ind w:firstLine="720"/>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 xml:space="preserve">Importantly, CES also provides food safety training for food handlers and consumers. In recent years, changes made to the 2017 FDA Food Code indicate that the Person in Charge (PIC) of a foodservice operation must be a Certified Food Protection Manager </w:t>
      </w:r>
      <w:r>
        <w:rPr>
          <w:rFonts w:ascii="Times New Roman" w:eastAsia="Times New Roman" w:hAnsi="Times New Roman" w:cs="Times New Roman"/>
          <w:i/>
          <w:sz w:val="24"/>
          <w:szCs w:val="24"/>
        </w:rPr>
        <w:t>(43)</w:t>
      </w:r>
      <w:r>
        <w:rPr>
          <w:rFonts w:ascii="Times New Roman" w:eastAsia="Times New Roman" w:hAnsi="Times New Roman" w:cs="Times New Roman"/>
          <w:sz w:val="24"/>
          <w:szCs w:val="24"/>
        </w:rPr>
        <w:t xml:space="preserve">. In addition, a Certified Food Protection Manager must pass a food safety exam approved by the American National Standards Institute and the Conference for Food Protection (ANSI-CFP) </w:t>
      </w:r>
      <w:r>
        <w:rPr>
          <w:rFonts w:ascii="Times New Roman" w:eastAsia="Times New Roman" w:hAnsi="Times New Roman" w:cs="Times New Roman"/>
          <w:i/>
          <w:sz w:val="24"/>
          <w:szCs w:val="24"/>
        </w:rPr>
        <w:t>(1, 41)</w:t>
      </w:r>
      <w:r>
        <w:rPr>
          <w:rFonts w:ascii="Times New Roman" w:eastAsia="Times New Roman" w:hAnsi="Times New Roman" w:cs="Times New Roman"/>
          <w:sz w:val="24"/>
          <w:szCs w:val="24"/>
        </w:rPr>
        <w:t xml:space="preserve">. This significant shift in training expectations requires CES’s involvement in outreach and training to these audiences in recognized education programs like ServSafe, Safe Plates, etc. </w:t>
      </w:r>
      <w:r>
        <w:rPr>
          <w:rFonts w:ascii="Times New Roman" w:eastAsia="Times New Roman" w:hAnsi="Times New Roman" w:cs="Times New Roman"/>
          <w:i/>
          <w:sz w:val="24"/>
          <w:szCs w:val="24"/>
        </w:rPr>
        <w:t>(24, 37)</w:t>
      </w:r>
      <w:r>
        <w:rPr>
          <w:rFonts w:ascii="Times New Roman" w:eastAsia="Times New Roman" w:hAnsi="Times New Roman" w:cs="Times New Roman"/>
          <w:sz w:val="24"/>
          <w:szCs w:val="24"/>
        </w:rPr>
        <w:t xml:space="preserve">. CES also spearheads an assortment of educational opportunities for consumers such as the Master Food Volunteer program, Cooking for Crowds, and home preservation courses. </w:t>
      </w:r>
    </w:p>
    <w:p w14:paraId="0000002A" w14:textId="770E0F54" w:rsidR="00A014FB" w:rsidRDefault="00214A3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CES promotes food safety nationally and internationally through consumer education (e.g., home food preservation, safe food handling practices), training and assistance for the food industry and regulators (e.g., FSMA training, HACCP certifications, food entrepreneurship initiatives), 4-H youth programs, targeted research, and the dissemination and adoption of science-based resources and technologies for various audiences. CES continues to evolve to address the needs of the public, meeting the critical food safety challenges that exist within our global food and agriculture systems. However, to adapt, progress, and effectively serve its clientele in an ever-evolving world, challenges facing CES must be recognized and appropriately addressed. </w:t>
      </w:r>
      <w:r w:rsidR="004130CB">
        <w:rPr>
          <w:rFonts w:ascii="Times New Roman" w:eastAsia="Times New Roman" w:hAnsi="Times New Roman" w:cs="Times New Roman"/>
          <w:sz w:val="24"/>
          <w:szCs w:val="24"/>
        </w:rPr>
        <w:t xml:space="preserve">By adopting new tools, learning new skills, and reallocating limited resources, CES personnel continue to embrace opportunities and overcome challenges. </w:t>
      </w:r>
      <w:r>
        <w:rPr>
          <w:rFonts w:ascii="Times New Roman" w:eastAsia="Times New Roman" w:hAnsi="Times New Roman" w:cs="Times New Roman"/>
          <w:sz w:val="24"/>
          <w:szCs w:val="24"/>
        </w:rPr>
        <w:t xml:space="preserve">Based on a roundtable </w:t>
      </w:r>
      <w:r>
        <w:rPr>
          <w:rFonts w:ascii="Times New Roman" w:eastAsia="Times New Roman" w:hAnsi="Times New Roman" w:cs="Times New Roman"/>
          <w:sz w:val="24"/>
          <w:szCs w:val="24"/>
        </w:rPr>
        <w:lastRenderedPageBreak/>
        <w:t xml:space="preserve">with CES experts on the topic of “Revitalizing the Future of Food Safety Extension” held at the 2019 International Association for Food Protection Annual Meeting, this article details this imperative. Experts in this discussion included: Dr. Melissa Chase (Consumer Food Safety Program Manager and Extension Specialist, Virginia Tech), Dr. Courtney Crist (Assistant Extension Professor, Mississippi State University), Dr. Catherine Cutter (Professor and Assistant Director of Food Safety &amp; Quality Programs - Penn State Extension, The Pennsylvania State University), Dr. Connie Fisk (Northwest Regional Extension Associate, Produce Safety Alliance), and Dr. Channah Rock (Professor and Extension Specialist, The University of Arizona). </w:t>
      </w:r>
    </w:p>
    <w:p w14:paraId="0000002B" w14:textId="77777777" w:rsidR="00A014FB" w:rsidRDefault="00214A31">
      <w:pPr>
        <w:pStyle w:val="Normal1"/>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CHALLENGES FACED BY EXTENSION LEADERS </w:t>
      </w:r>
    </w:p>
    <w:p w14:paraId="0000002D" w14:textId="2CC8CB3E" w:rsidR="00A014FB" w:rsidRDefault="00214A3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Over the past century, CES has undergone many systemic changes, expanding its reach to impact a range of stakeholders from farmers to consumers. Through this evolution, CES has faced several challenges. In this section, we address significant challenges CES educators currently face, including increased workload and job responsibilities, limited public awareness of CES, restricted financial resources, and changed education needs. </w:t>
      </w:r>
    </w:p>
    <w:p w14:paraId="0000002E" w14:textId="77777777" w:rsidR="00A014FB" w:rsidRDefault="00214A31">
      <w:pPr>
        <w:pStyle w:val="Normal1"/>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“Overextension” of Extension educators </w:t>
      </w:r>
    </w:p>
    <w:p w14:paraId="0000002F" w14:textId="77777777" w:rsidR="00A014FB" w:rsidRDefault="00214A3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CES educators, including panelists and CES-affiliated session attendees, shared their experiences and overall feelings of being “spread thin” within their occupations. Speakers raised specific financial concerns (e.g., reduced funding, hiring freezes, etc.) that ultimately reduced programming. Consequently, CES educators are increasingly required to take on multiple responsibilities (often referred to as “wearing many hats”) to support their stakeholders in pursuit of meeting benchmarks. Further, with increasing changes to food safety regulations, CES educators often find themselves overwhelmed by increased training needs from constituents. </w:t>
      </w:r>
      <w:r>
        <w:rPr>
          <w:rFonts w:ascii="Times New Roman" w:eastAsia="Times New Roman" w:hAnsi="Times New Roman" w:cs="Times New Roman"/>
          <w:sz w:val="24"/>
          <w:szCs w:val="24"/>
        </w:rPr>
        <w:lastRenderedPageBreak/>
        <w:t xml:space="preserve">This phenomenon has led to a shift from in-person programming to regional and online programming. Although regional and online programming can expand stakeholder access, such programming limits rapport between CES educators and individual stakeholders. CES programs have also responded and adapted to increased needs by engaging with community members to develop and manage programs such as Master Food Volunteer and Master Gardener programs </w:t>
      </w:r>
      <w:r>
        <w:rPr>
          <w:rFonts w:ascii="Times New Roman" w:eastAsia="Times New Roman" w:hAnsi="Times New Roman" w:cs="Times New Roman"/>
          <w:i/>
          <w:sz w:val="24"/>
          <w:szCs w:val="24"/>
        </w:rPr>
        <w:t>(45,46)</w:t>
      </w:r>
      <w:r>
        <w:rPr>
          <w:rFonts w:ascii="Times New Roman" w:eastAsia="Times New Roman" w:hAnsi="Times New Roman" w:cs="Times New Roman"/>
          <w:sz w:val="24"/>
          <w:szCs w:val="24"/>
        </w:rPr>
        <w:t xml:space="preserve">. This style of programming involves recruiting volunteers already immersed within their communities and has shown to have advantages such as reaching stakeholders that CES educators may otherwise have had difficulty reaching. </w:t>
      </w:r>
    </w:p>
    <w:p w14:paraId="00000030" w14:textId="77777777"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CES educators expressed concerns over CES’s transition to requiring educators to have multiple responsibilities that may be outside one’s area of expertise. During the roundtable, panelists reflected upon the shrinking numbers of CES educators with expertise in a specific subject area (e.g., Agriculture and Natural Resources, Family and Consumer Sciences, 4-H Youth Development) paired with the increased necessity to be a generalist. Panelists discussed “struggl[ing]” to prioritize work and programming when also requested to work outside of their original job description/title, with little or no funding. This issue is coupled with the increasing number of non-tenured CES professionals and faculty who may also need to partially or fully self-support financial aspects (e.g., through grant funding, industry partnerships, community relations/fundraising, and/or food entrepreneurship initiatives) of their program and programming.  </w:t>
      </w:r>
    </w:p>
    <w:p w14:paraId="00000031" w14:textId="77777777"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addition to the activities and programs being implemented in-person, there is an increased “emphasis to have an online presence”. While the rise of the Internet has enabled stakeholders to access information easily, and for CES educators to engage with a broader range of stakeholders, these initiatives increase the job responsibilities of CES personnel. In the </w:t>
      </w:r>
      <w:r>
        <w:rPr>
          <w:rFonts w:ascii="Times New Roman" w:eastAsia="Times New Roman" w:hAnsi="Times New Roman" w:cs="Times New Roman"/>
          <w:sz w:val="24"/>
          <w:szCs w:val="24"/>
        </w:rPr>
        <w:lastRenderedPageBreak/>
        <w:t xml:space="preserve">session, panelists discussed distributing and disseminating food safety information via different mechanisms, including online. Panelists described how, over time, dissemination methods have evolved as has their understanding of online pedagogy for diverse audiences. An online presence is essential in our hyper-connected world to increase accessibility, reach varied audiences, and manage the demands of multiple programs; to be “relevant” CES educators must also be proficient with all media trends. To better utilize online resources, panelists frequently self-taught themselves content creation, including Drs. Crist, Rock, and Fisk who have both self-taught and sought out professional development opportunities to develop skills such as photography, website-building, blogging, and running social media campaigns. </w:t>
      </w:r>
    </w:p>
    <w:p w14:paraId="00000033" w14:textId="2E29E34A"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Panelists explored solutions to increase their support of food safety programs in response to being overextended. The importance of interdisciplinary food safety teams was emphasized; Dr. Cutter shared Penn State’s CES model of grounding Extension activities in interdisciplinary program teams through the Product Development Process in which needs assessments of clientele are conducted. All panelists agreed that being a CES professional was akin to being a small business owner, requiring leveraging of partnerships with public and private businesses, educational institutions, and government regulators.</w:t>
      </w:r>
    </w:p>
    <w:p w14:paraId="00000034" w14:textId="77777777" w:rsidR="00A014FB" w:rsidRDefault="00214A31">
      <w:pPr>
        <w:pStyle w:val="Normal1"/>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Increasing awareness of CES</w:t>
      </w:r>
    </w:p>
    <w:p w14:paraId="00000035" w14:textId="77777777"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 CES needs have changed, so too has awareness of CES offerings to local communities. Panelists described the necessity of increasing CES presence with varying stakeholders and documenting impact to non-Extension faculty and grant-making agencies.</w:t>
      </w:r>
    </w:p>
    <w:p w14:paraId="00000036" w14:textId="77777777"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Information created and distributed by CES is for everyone; however, due to CES’ historical associations with agriculture, people outside of agriculture may not seek CES services as they may not believe they are the primary audience. To address this, CES programs are </w:t>
      </w:r>
      <w:r>
        <w:rPr>
          <w:rFonts w:ascii="Times New Roman" w:eastAsia="Times New Roman" w:hAnsi="Times New Roman" w:cs="Times New Roman"/>
          <w:sz w:val="24"/>
          <w:szCs w:val="24"/>
        </w:rPr>
        <w:lastRenderedPageBreak/>
        <w:t xml:space="preserve">designed with the intent of connecting educators with audiences to evaluate their needs and subsequently adapt programs. Panelists and attendees suggested working with their institution’s communications teams to transition from using email listservs as a primary method of communication to also using media platforms (e.g., local news, Facebook, Instagram, etc.) and online promotions to magnify reach. Media platforms are more interactive; they allow CES professionals to convey enthusiasm, share upcoming programs, and inform participants of available opportunities. However, panelists noted that program marketing is an additional responsibility for which they do not typically have training for. </w:t>
      </w:r>
    </w:p>
    <w:p w14:paraId="00000037" w14:textId="77777777"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Panelists described the importance of “get[ting] the story out there” to express the value and impact of programs (like 4-H’s impact on youth development and agricultural career preparation) which results in more engagement with their communities. Panelists also discussed the value of “networking” with state departments of agriculture and health to communicate available services. Coordinated relationship building and collaborations have led to increased positive reputation and awareness within communities. Overall, panelists highlighted the importance of becoming embedded in their community to impactfully engage and develop trust with members, including by serving on local/regional policy councils. </w:t>
      </w:r>
    </w:p>
    <w:p w14:paraId="56159FDA" w14:textId="18015897" w:rsidR="00314FD6"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Additionally, panelists expressed they are continuously justifying the necessity of CES to grant-funding organizations, colleagues, and universities' upper administrations. As universities shift towards performance-based budgeting models, there is not an equivalent measurement-budget plan within CES. As such, while funding organizations are particularly interested in data documenting CES’s impacts, documentation takes away time and resources from program delivery. Similarly, university-guided performance-based metrics are more difficult to measure </w:t>
      </w:r>
      <w:r>
        <w:rPr>
          <w:rFonts w:ascii="Times New Roman" w:eastAsia="Times New Roman" w:hAnsi="Times New Roman" w:cs="Times New Roman"/>
          <w:sz w:val="24"/>
          <w:szCs w:val="24"/>
        </w:rPr>
        <w:lastRenderedPageBreak/>
        <w:t xml:space="preserve">in community settings compared to the evaluation and performance metrics of teaching and research. </w:t>
      </w:r>
    </w:p>
    <w:p w14:paraId="66292B87" w14:textId="77777777" w:rsidR="00314FD6" w:rsidRDefault="00314FD6">
      <w:pPr>
        <w:pStyle w:val="Normal1"/>
        <w:spacing w:line="480" w:lineRule="auto"/>
        <w:ind w:firstLine="720"/>
        <w:rPr>
          <w:rFonts w:ascii="Times New Roman" w:eastAsia="Times New Roman" w:hAnsi="Times New Roman" w:cs="Times New Roman"/>
          <w:sz w:val="24"/>
          <w:szCs w:val="24"/>
        </w:rPr>
      </w:pPr>
    </w:p>
    <w:p w14:paraId="00000039" w14:textId="77777777" w:rsidR="00A014FB" w:rsidRDefault="00A014FB" w:rsidP="00314FD6">
      <w:pPr>
        <w:pStyle w:val="Normal1"/>
        <w:spacing w:line="480" w:lineRule="auto"/>
        <w:ind w:firstLine="720"/>
        <w:rPr>
          <w:rFonts w:ascii="Times New Roman" w:eastAsia="Times New Roman" w:hAnsi="Times New Roman" w:cs="Times New Roman"/>
          <w:sz w:val="24"/>
          <w:szCs w:val="24"/>
        </w:rPr>
      </w:pPr>
    </w:p>
    <w:p w14:paraId="0000003A" w14:textId="77777777" w:rsidR="00A014FB" w:rsidRDefault="00214A31">
      <w:pPr>
        <w:pStyle w:val="Normal1"/>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Monetary challenges</w:t>
      </w:r>
    </w:p>
    <w:p w14:paraId="0000003C" w14:textId="06B05002" w:rsidR="00A014FB" w:rsidRDefault="00214A31" w:rsidP="0080252A">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Access to sufficient and consistent financial resources has proven challenging for CES educators. The original funding model, in which costs were shared amongst federal, state, and local governments, has shifted to primary reliance on public-private partnerships, private philanthropy, and revenue-generating programs </w:t>
      </w:r>
      <w:r>
        <w:rPr>
          <w:rFonts w:ascii="Times New Roman" w:eastAsia="Times New Roman" w:hAnsi="Times New Roman" w:cs="Times New Roman"/>
          <w:i/>
          <w:sz w:val="24"/>
          <w:szCs w:val="24"/>
        </w:rPr>
        <w:t>(3, 11, 21, 22, 50)</w:t>
      </w:r>
      <w:r>
        <w:rPr>
          <w:rFonts w:ascii="Times New Roman" w:eastAsia="Times New Roman" w:hAnsi="Times New Roman" w:cs="Times New Roman"/>
          <w:sz w:val="24"/>
          <w:szCs w:val="24"/>
        </w:rPr>
        <w:t xml:space="preserve">. Panelists, having previously relied on fewer, larger streams of money are now relying on a combination of soft-funded sources and public-private partnerships. Now, monetary sources include smaller streams of funding from grant-making agencies, unspent money from other programs at the end of the fiscal year to fund the next year of programs, or one or two primary revenue-generating programs per year; this results in multi-source funding made up of smaller amounts of money, but with increasing deliverables. Resources that could otherwise be spent on delivering impactful programs are instead allocated to managing the stress of keeping programs financially solvent. </w:t>
      </w:r>
    </w:p>
    <w:p w14:paraId="0000003D" w14:textId="77777777" w:rsidR="00A014FB" w:rsidRDefault="00214A31">
      <w:pPr>
        <w:pStyle w:val="Normal1"/>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Delivery and educational challenges</w:t>
      </w:r>
    </w:p>
    <w:p w14:paraId="0000003F" w14:textId="34FA0437" w:rsidR="00A014FB" w:rsidRDefault="00214A31" w:rsidP="0080252A">
      <w:pPr>
        <w:pStyle w:val="Normal1"/>
        <w:spacing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CES educators are continuously adopting new best practices for connecting with communities and sharing educational materials. Previously, when CES educators’ efforts were primarily focused on agricultural production, in-person support was offered (e.g., via on-farm visits and in-person instruction). While these practices still occur and continue to meet a vital need to specific audiences, CES currently provides less in-person services due to increasing training and educational needs (and increase in topics/subject areas covered) coupled with fewer </w:t>
      </w:r>
      <w:r>
        <w:rPr>
          <w:rFonts w:ascii="Times New Roman" w:eastAsia="Times New Roman" w:hAnsi="Times New Roman" w:cs="Times New Roman"/>
          <w:sz w:val="24"/>
          <w:szCs w:val="24"/>
        </w:rPr>
        <w:lastRenderedPageBreak/>
        <w:t xml:space="preserve">individuals employed by CES. At the same time, an increase in Internet connectivity and access to digital technologies allows and creates opportunities for online-only and on-demand programs to maximize resources </w:t>
      </w:r>
      <w:r>
        <w:rPr>
          <w:rFonts w:ascii="Times New Roman" w:eastAsia="Times New Roman" w:hAnsi="Times New Roman" w:cs="Times New Roman"/>
          <w:i/>
          <w:sz w:val="24"/>
          <w:szCs w:val="24"/>
        </w:rPr>
        <w:t>(17)</w:t>
      </w:r>
      <w:r>
        <w:rPr>
          <w:rFonts w:ascii="Times New Roman" w:eastAsia="Times New Roman" w:hAnsi="Times New Roman" w:cs="Times New Roman"/>
          <w:sz w:val="24"/>
          <w:szCs w:val="24"/>
        </w:rPr>
        <w:t xml:space="preserve">. CES operations have leveraged online technologies through online courses that have been effective for PSA training with farmers, as many farmers are unable to attend an 8-hour in-person course. While a shift to digital technologies benefits participants to complete a program in their own time, it is neither a perfect nor ideal solution due to the lack of live engagement and focused learning. Panelists deliberated on “ideal'' platforms for online engagement and the limits of adapting a program to a technology that will likely change or become obsolete. As discussed previously, it becomes incumbent upon the educator to learn how to use digital technology (e.g., online learning platforms) and adapt materials accordingly; both actions are time-and labor-intensive for an already occupied group. However, panelists cautioned against going so far as to solely offering online-only educational experiences, as Internet connectivity remains limited in many rural U.S. areas, internationally, and within specific communities that avoid technology (e.g., Plain communities, including Amish, Mennonite). Even when Internet connectivity is available, clientele may not have access and/or adequate resources to support a stable/reliable Internet connection needed for activities such as video streaming and taking online assessments. Although there has been a push towards maintaining an online presence, panelists often face the need to justify to funders that online technology is “not the silver bullet” for education; in fact, it is imperative to continue developing hands-on and in-person content to “meet more people where they are”. </w:t>
      </w:r>
    </w:p>
    <w:p w14:paraId="00000040" w14:textId="77777777" w:rsidR="00A014FB" w:rsidRDefault="00214A31">
      <w:pPr>
        <w:pStyle w:val="Normal1"/>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ADDRESSING CHALLENGES AND RESPONDING TO CHANGE</w:t>
      </w:r>
    </w:p>
    <w:p w14:paraId="00000042" w14:textId="76808140" w:rsidR="00A014FB" w:rsidRDefault="00214A31" w:rsidP="0080252A">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CES educators have responded to challenges with a variety of creative solutions including adapting personnel roles, </w:t>
      </w:r>
      <w:proofErr w:type="gramStart"/>
      <w:r>
        <w:rPr>
          <w:rFonts w:ascii="Times New Roman" w:eastAsia="Times New Roman" w:hAnsi="Times New Roman" w:cs="Times New Roman"/>
          <w:sz w:val="24"/>
          <w:szCs w:val="24"/>
        </w:rPr>
        <w:t>fostering</w:t>
      </w:r>
      <w:proofErr w:type="gramEnd"/>
      <w:r>
        <w:rPr>
          <w:rFonts w:ascii="Times New Roman" w:eastAsia="Times New Roman" w:hAnsi="Times New Roman" w:cs="Times New Roman"/>
          <w:sz w:val="24"/>
          <w:szCs w:val="24"/>
        </w:rPr>
        <w:t xml:space="preserve"> and facilitating inclusivity, and evaluating successes to increase interest and awareness in CES and to adapt to the changing world. </w:t>
      </w:r>
    </w:p>
    <w:p w14:paraId="00000043" w14:textId="77777777" w:rsidR="00A014FB" w:rsidRDefault="00214A31">
      <w:pPr>
        <w:pStyle w:val="Normal1"/>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Personnel shifts</w:t>
      </w:r>
    </w:p>
    <w:p w14:paraId="00000044" w14:textId="77777777"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 a means of addressing shrinking personnel in specialized subject areas, Area Specialized Agent (ASA) roles were established by CES administrators. Rather than focusing on multiple program areas as many Extension educators do, ASAs are responsible for a “specific content area over a designated multi-county area” (</w:t>
      </w:r>
      <w:r>
        <w:rPr>
          <w:rFonts w:ascii="Times New Roman" w:eastAsia="Times New Roman" w:hAnsi="Times New Roman" w:cs="Times New Roman"/>
          <w:i/>
          <w:sz w:val="24"/>
          <w:szCs w:val="24"/>
        </w:rPr>
        <w:t>13)</w:t>
      </w:r>
      <w:r>
        <w:rPr>
          <w:rFonts w:ascii="Times New Roman" w:eastAsia="Times New Roman" w:hAnsi="Times New Roman" w:cs="Times New Roman"/>
          <w:sz w:val="24"/>
          <w:szCs w:val="24"/>
        </w:rPr>
        <w:t>. For example, in recent years, North Carolina Cooperative Extension hired two ASAs to assist in food manufacturing and processor training, and three ASAs to focus on consumer and retail food safety (</w:t>
      </w:r>
      <w:r>
        <w:rPr>
          <w:rFonts w:ascii="Times New Roman" w:eastAsia="Times New Roman" w:hAnsi="Times New Roman" w:cs="Times New Roman"/>
          <w:i/>
          <w:sz w:val="24"/>
          <w:szCs w:val="24"/>
        </w:rPr>
        <w:t>15, 23)</w:t>
      </w:r>
      <w:r>
        <w:rPr>
          <w:rFonts w:ascii="Times New Roman" w:eastAsia="Times New Roman" w:hAnsi="Times New Roman" w:cs="Times New Roman"/>
          <w:sz w:val="24"/>
          <w:szCs w:val="24"/>
        </w:rPr>
        <w:t>. Additionally, Virginia Cooperative Extension (VCE) created a food safety ASA initiative after an influx of food safety and food entrepreneurial questions which diverted time from CES specialists. Faculty in the Virginia Tech Department of Food Science &amp; Technology drafted a proposal for additional food safety-based personnel and justified the request using program and evaluation data (including Virginia-specific food-related outbreak data, subsequent medical costs, employee work time lost, etc.) (</w:t>
      </w:r>
      <w:r>
        <w:rPr>
          <w:rFonts w:ascii="Times New Roman" w:eastAsia="Times New Roman" w:hAnsi="Times New Roman" w:cs="Times New Roman"/>
          <w:i/>
          <w:sz w:val="24"/>
          <w:szCs w:val="24"/>
        </w:rPr>
        <w:t>5)</w:t>
      </w:r>
      <w:r>
        <w:rPr>
          <w:rFonts w:ascii="Times New Roman" w:eastAsia="Times New Roman" w:hAnsi="Times New Roman" w:cs="Times New Roman"/>
          <w:sz w:val="24"/>
          <w:szCs w:val="24"/>
        </w:rPr>
        <w:t xml:space="preserve">. District directors approved three ASA positions; each individual was appointed a specific food safety niche with one agent focused on food safety programming and food entrepreneurship, another on food preservation, the third agent with on-farm food safety initiatives. </w:t>
      </w:r>
    </w:p>
    <w:p w14:paraId="00000045" w14:textId="77777777"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Moreover, the shift of CES towards a regional structure has affected the day-to-day roles and responsibilities of CES educators. On-site stakeholder visits (e.g., meeting a dairy farmer at their farm), and program offerings for individual counties or townships, have been reduced or eliminated to focus on regional programming. To minimize costs, fewer numbers of CES </w:t>
      </w:r>
      <w:r>
        <w:rPr>
          <w:rFonts w:ascii="Times New Roman" w:eastAsia="Times New Roman" w:hAnsi="Times New Roman" w:cs="Times New Roman"/>
          <w:sz w:val="24"/>
          <w:szCs w:val="24"/>
        </w:rPr>
        <w:lastRenderedPageBreak/>
        <w:t xml:space="preserve">personnel are responsible for covering large swathes or geographic regions. While there are advantages to having a centralized regional structure, such a structure minimizes direct interactions between individual stakeholders and CES personnel, which further impacts programming distribution. </w:t>
      </w:r>
    </w:p>
    <w:p w14:paraId="3D653FA1" w14:textId="77777777" w:rsidR="00314FD6" w:rsidRDefault="00314FD6">
      <w:pPr>
        <w:pStyle w:val="Normal1"/>
        <w:spacing w:line="480" w:lineRule="auto"/>
        <w:ind w:firstLine="720"/>
        <w:rPr>
          <w:rFonts w:ascii="Times New Roman" w:eastAsia="Times New Roman" w:hAnsi="Times New Roman" w:cs="Times New Roman"/>
          <w:sz w:val="24"/>
          <w:szCs w:val="24"/>
        </w:rPr>
      </w:pPr>
    </w:p>
    <w:p w14:paraId="00000046" w14:textId="35168E7E"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47" w14:textId="77777777" w:rsidR="00A014FB" w:rsidRDefault="00214A3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Becoming more inclusive</w:t>
      </w:r>
    </w:p>
    <w:p w14:paraId="00000049" w14:textId="76E20C3F" w:rsidR="00A014FB" w:rsidRDefault="00214A31" w:rsidP="0080252A">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communities diversify, CES faces challenges in developing multilingual resources and recruiting educators to deliver programs and training in various languages and contexts. Within the U.S., Spanish-speaking individuals constitute a large portion of those handling, growing, preparing, harvesting, and packing food; there is a growing need for food safety materials and programs to be developed for Hispanic/Latinx populations. To address the need for accessible and culturally-relevant resources, panelists described increased recruitment of Spanish-speaking CES educators to coordinate resource development and training for Spanish-speaking communities. Spanish-language materials are offered for different CES programs. For example, Penn State constructed a full complement of Spanish produce safety topics used for training including articles, fact sheets, and videos </w:t>
      </w:r>
      <w:r>
        <w:rPr>
          <w:rFonts w:ascii="Times New Roman" w:eastAsia="Times New Roman" w:hAnsi="Times New Roman" w:cs="Times New Roman"/>
          <w:i/>
          <w:sz w:val="24"/>
          <w:szCs w:val="24"/>
        </w:rPr>
        <w:t>(12)</w:t>
      </w:r>
      <w:r>
        <w:rPr>
          <w:rFonts w:ascii="Times New Roman" w:eastAsia="Times New Roman" w:hAnsi="Times New Roman" w:cs="Times New Roman"/>
          <w:sz w:val="24"/>
          <w:szCs w:val="24"/>
        </w:rPr>
        <w:t xml:space="preserve">. Additionally, in 2019, PSA launched “PSA en Español”, the Spanish-language sibling webpage that includes the Spanish grower training manual in print and online, resources, and contact information </w:t>
      </w:r>
      <w:r>
        <w:rPr>
          <w:rFonts w:ascii="Times New Roman" w:eastAsia="Times New Roman" w:hAnsi="Times New Roman" w:cs="Times New Roman"/>
          <w:i/>
          <w:sz w:val="24"/>
          <w:szCs w:val="24"/>
        </w:rPr>
        <w:t>(30)</w:t>
      </w:r>
      <w:r>
        <w:rPr>
          <w:rFonts w:ascii="Times New Roman" w:eastAsia="Times New Roman" w:hAnsi="Times New Roman" w:cs="Times New Roman"/>
          <w:sz w:val="24"/>
          <w:szCs w:val="24"/>
        </w:rPr>
        <w:t xml:space="preserve">. In 2018, PSA prioritized hiring a Spanish Language Extension Associate, and due to increased need, hired a second Spanish Language Extension Associate in 2020. PSA currently has 183 registered Spanish-speaking PSA trainers (27 are Lead Trainers and 9 are Trainer of Trainers/TOTs) in the U.S., allowing for fully immersed Spanish grower training courses to occur </w:t>
      </w:r>
      <w:r>
        <w:rPr>
          <w:rFonts w:ascii="Times New Roman" w:eastAsia="Times New Roman" w:hAnsi="Times New Roman" w:cs="Times New Roman"/>
          <w:i/>
          <w:sz w:val="24"/>
          <w:szCs w:val="24"/>
        </w:rPr>
        <w:t>(31)</w:t>
      </w:r>
      <w:r>
        <w:rPr>
          <w:rFonts w:ascii="Times New Roman" w:eastAsia="Times New Roman" w:hAnsi="Times New Roman" w:cs="Times New Roman"/>
          <w:sz w:val="24"/>
          <w:szCs w:val="24"/>
        </w:rPr>
        <w:t xml:space="preserve">. Translations of </w:t>
      </w:r>
      <w:r>
        <w:rPr>
          <w:rFonts w:ascii="Times New Roman" w:eastAsia="Times New Roman" w:hAnsi="Times New Roman" w:cs="Times New Roman"/>
          <w:sz w:val="24"/>
          <w:szCs w:val="24"/>
        </w:rPr>
        <w:lastRenderedPageBreak/>
        <w:t>the PSA curriculum and supporting resources are also being developed in other languages as need arises. Culturally relevant adaptations take time, dedication, and specialized personnel</w:t>
      </w:r>
    </w:p>
    <w:p w14:paraId="0000004A" w14:textId="77777777" w:rsidR="00A014FB" w:rsidRDefault="00214A31">
      <w:pPr>
        <w:pStyle w:val="Normal1"/>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Effective evaluation in documenting and measuring success </w:t>
      </w:r>
    </w:p>
    <w:p w14:paraId="0000004B" w14:textId="77777777"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Measuring the success of CES and its programs has changed over time. While the use of quantitative measurements (e.g., financial measurements, number of program participants, pre- and post-tests) is valuable, participants discussed alternative measurements of “success”. Evaluation of programming, a form of measurement, has become a universal precursor to receiving funding for many national programs. CES personnel are increasingly expected to provide evidence of program success through short-term, intermediate, and long-term evaluation (e.g., USDA’s NIFA grants). However, there are obstacles and barriers to measuring success and evaluating programs </w:t>
      </w:r>
      <w:r>
        <w:rPr>
          <w:rFonts w:ascii="Times New Roman" w:eastAsia="Times New Roman" w:hAnsi="Times New Roman" w:cs="Times New Roman"/>
          <w:i/>
          <w:sz w:val="24"/>
          <w:szCs w:val="24"/>
        </w:rPr>
        <w:t>(9)</w:t>
      </w:r>
      <w:r>
        <w:rPr>
          <w:rFonts w:ascii="Times New Roman" w:eastAsia="Times New Roman" w:hAnsi="Times New Roman" w:cs="Times New Roman"/>
          <w:sz w:val="24"/>
          <w:szCs w:val="24"/>
        </w:rPr>
        <w:t xml:space="preserve">. As CES programs are unique in themselves, it is imperative to gather accurate, specific, measurable, and feasible data to complement and meet objectives. </w:t>
      </w:r>
    </w:p>
    <w:p w14:paraId="6A246623" w14:textId="58FCB9FB" w:rsidR="00D42991" w:rsidRDefault="00214A3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CES educators must also “tap into [their] network[s] for participant feedback”, while developing programs to “get meaningful data” and document a positive impact. Dr. Fisk highlighted a standardized, program-specific evaluation tool PSA trainers are required to use for the PSA grower training course. Panelists also noted that informal evaluation measures can often preempt and contribute to formal results; informal measurements included participant feedback through quotes, kudos, and “thank-you” notes. Documentation of personal feedback can qualitatively document client satisfaction, impact, and can be used for program adaptation in the future.  </w:t>
      </w:r>
    </w:p>
    <w:p w14:paraId="0000004E" w14:textId="77777777" w:rsidR="00A014FB" w:rsidRDefault="00214A3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Increasing interest in CES</w:t>
      </w:r>
    </w:p>
    <w:p w14:paraId="0000004F" w14:textId="77777777"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Panelists described the importance of student involvement and university personnel cross-collaborations to facilitate interest in CES programs. Interest can later be converted into a </w:t>
      </w:r>
      <w:r>
        <w:rPr>
          <w:rFonts w:ascii="Times New Roman" w:eastAsia="Times New Roman" w:hAnsi="Times New Roman" w:cs="Times New Roman"/>
          <w:sz w:val="24"/>
          <w:szCs w:val="24"/>
        </w:rPr>
        <w:lastRenderedPageBreak/>
        <w:t xml:space="preserve">recruitment tool for future CES educators. While these networks may be difficult to cultivate, as CES faculty often have teaching or research appointments coupled with their Extension appointments, Dr. Chase encouraged research faculty to include and collaborate with non-research Extension faculty on their projects. Using herself as an example, Dr. Chase (who does not have a research appointment) stated that she serves on multiple graduate research committees with students conducting Extension-serving projects. </w:t>
      </w:r>
    </w:p>
    <w:p w14:paraId="00000050" w14:textId="77777777"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Land-grant universities (LGUs) must also demonstrate the value of CES to students. Since graduate students are often evaluated solely on their research productivity, students’ teaching and CES efforts may not contribute to fulfilling degree requirements. Academic departments can show their commitment to Extension by having an Extension/outreach expectation for all graduate students (students learn how to effectively communicate their research to be understood by public audiences). Dr. Chase served on a dissertation committee with a published research output in the </w:t>
      </w:r>
      <w:r>
        <w:rPr>
          <w:rFonts w:ascii="Times New Roman" w:eastAsia="Times New Roman" w:hAnsi="Times New Roman" w:cs="Times New Roman"/>
          <w:i/>
          <w:sz w:val="24"/>
          <w:szCs w:val="24"/>
        </w:rPr>
        <w:t>Journal of Extension</w:t>
      </w:r>
      <w:r>
        <w:rPr>
          <w:rFonts w:ascii="Times New Roman" w:eastAsia="Times New Roman" w:hAnsi="Times New Roman" w:cs="Times New Roman"/>
          <w:sz w:val="24"/>
          <w:szCs w:val="24"/>
        </w:rPr>
        <w:t xml:space="preserve">. In this publication, authors highlighted how CES educators can utilize Extension Publications to discuss food processing technologies with clientele </w:t>
      </w:r>
      <w:r>
        <w:rPr>
          <w:rFonts w:ascii="Times New Roman" w:eastAsia="Times New Roman" w:hAnsi="Times New Roman" w:cs="Times New Roman"/>
          <w:i/>
          <w:sz w:val="24"/>
          <w:szCs w:val="24"/>
        </w:rPr>
        <w:t>(2)</w:t>
      </w:r>
      <w:r>
        <w:rPr>
          <w:rFonts w:ascii="Times New Roman" w:eastAsia="Times New Roman" w:hAnsi="Times New Roman" w:cs="Times New Roman"/>
          <w:sz w:val="24"/>
          <w:szCs w:val="24"/>
        </w:rPr>
        <w:t xml:space="preserve">. This Extension-based project provided the student with experience and support when deciding how CES would be a part of their future career. </w:t>
      </w:r>
    </w:p>
    <w:p w14:paraId="00000052" w14:textId="7277BE01" w:rsidR="00A014FB" w:rsidRDefault="00214A31" w:rsidP="0080252A">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Inclusion of undergraduate students in </w:t>
      </w:r>
      <w:r>
        <w:rPr>
          <w:rFonts w:ascii="Times New Roman" w:eastAsia="Times New Roman" w:hAnsi="Times New Roman" w:cs="Times New Roman"/>
          <w:sz w:val="24"/>
          <w:szCs w:val="24"/>
        </w:rPr>
        <w:t>Extension</w:t>
      </w:r>
      <w:r>
        <w:rPr>
          <w:rFonts w:ascii="Times New Roman" w:eastAsia="Times New Roman" w:hAnsi="Times New Roman" w:cs="Times New Roman"/>
          <w:color w:val="000000"/>
          <w:sz w:val="24"/>
          <w:szCs w:val="24"/>
        </w:rPr>
        <w:t xml:space="preserve">-related activities can further </w:t>
      </w:r>
      <w:r>
        <w:rPr>
          <w:rFonts w:ascii="Times New Roman" w:eastAsia="Times New Roman" w:hAnsi="Times New Roman" w:cs="Times New Roman"/>
          <w:sz w:val="24"/>
          <w:szCs w:val="24"/>
        </w:rPr>
        <w:t>cultivate</w:t>
      </w:r>
      <w:r>
        <w:rPr>
          <w:rFonts w:ascii="Times New Roman" w:eastAsia="Times New Roman" w:hAnsi="Times New Roman" w:cs="Times New Roman"/>
          <w:color w:val="000000"/>
          <w:sz w:val="24"/>
          <w:szCs w:val="24"/>
        </w:rPr>
        <w:t xml:space="preserve"> interest in CES. </w:t>
      </w:r>
      <w:r>
        <w:rPr>
          <w:rFonts w:ascii="Times New Roman" w:eastAsia="Times New Roman" w:hAnsi="Times New Roman" w:cs="Times New Roman"/>
          <w:sz w:val="24"/>
          <w:szCs w:val="24"/>
        </w:rPr>
        <w:t>Students can become more involved through paid apprenticeship programs or other grant-related activities. As u</w:t>
      </w:r>
      <w:r>
        <w:rPr>
          <w:rFonts w:ascii="Times New Roman" w:eastAsia="Times New Roman" w:hAnsi="Times New Roman" w:cs="Times New Roman"/>
          <w:color w:val="000000"/>
          <w:sz w:val="24"/>
          <w:szCs w:val="24"/>
        </w:rPr>
        <w:t xml:space="preserve">ndergraduate students enrolled at </w:t>
      </w:r>
      <w:r>
        <w:rPr>
          <w:rFonts w:ascii="Times New Roman" w:eastAsia="Times New Roman" w:hAnsi="Times New Roman" w:cs="Times New Roman"/>
          <w:sz w:val="24"/>
          <w:szCs w:val="24"/>
        </w:rPr>
        <w:t>LGUs</w:t>
      </w:r>
      <w:r>
        <w:rPr>
          <w:rFonts w:ascii="Times New Roman" w:eastAsia="Times New Roman" w:hAnsi="Times New Roman" w:cs="Times New Roman"/>
          <w:color w:val="000000"/>
          <w:sz w:val="24"/>
          <w:szCs w:val="24"/>
        </w:rPr>
        <w:t xml:space="preserve"> are oftentimes unaware of the services and careers associated with C</w:t>
      </w:r>
      <w:r>
        <w:rPr>
          <w:rFonts w:ascii="Times New Roman" w:eastAsia="Times New Roman" w:hAnsi="Times New Roman" w:cs="Times New Roman"/>
          <w:sz w:val="24"/>
          <w:szCs w:val="24"/>
        </w:rPr>
        <w:t xml:space="preserve">ES, </w:t>
      </w:r>
      <w:r>
        <w:rPr>
          <w:rFonts w:ascii="Times New Roman" w:eastAsia="Times New Roman" w:hAnsi="Times New Roman" w:cs="Times New Roman"/>
          <w:color w:val="000000"/>
          <w:sz w:val="24"/>
          <w:szCs w:val="24"/>
        </w:rPr>
        <w:t xml:space="preserve">Dr. Crist discussed how a colleague at Mississippi State University received a USDA NIFA AFRI ELI-sponsored Research and Extension Experiential Learning for Undergraduates (REEU) Fellowships Program grant to develop and implement an undergraduate </w:t>
      </w: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 xml:space="preserve">xtension apprenticeship program in the areas of </w:t>
      </w:r>
      <w:r>
        <w:rPr>
          <w:rFonts w:ascii="Times New Roman" w:eastAsia="Times New Roman" w:hAnsi="Times New Roman" w:cs="Times New Roman"/>
          <w:color w:val="000000"/>
          <w:sz w:val="24"/>
          <w:szCs w:val="24"/>
        </w:rPr>
        <w:lastRenderedPageBreak/>
        <w:t>agriculture and natural resources, family and consumer sciences, community resource development, or youth development</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(8, 16)</w:t>
      </w:r>
      <w:r>
        <w:rPr>
          <w:rFonts w:ascii="Times New Roman" w:eastAsia="Times New Roman" w:hAnsi="Times New Roman" w:cs="Times New Roman"/>
          <w:color w:val="000000"/>
          <w:sz w:val="24"/>
          <w:szCs w:val="24"/>
        </w:rPr>
        <w:t>. Dr. Crist herself had previously applied for and been awarded three undergraduate student apprenticeships</w:t>
      </w:r>
      <w:r>
        <w:rPr>
          <w:rFonts w:ascii="Times New Roman" w:eastAsia="Times New Roman" w:hAnsi="Times New Roman" w:cs="Times New Roman"/>
          <w:sz w:val="24"/>
          <w:szCs w:val="24"/>
        </w:rPr>
        <w:t xml:space="preserve">, through this program, in </w:t>
      </w:r>
      <w:r>
        <w:rPr>
          <w:rFonts w:ascii="Times New Roman" w:eastAsia="Times New Roman" w:hAnsi="Times New Roman" w:cs="Times New Roman"/>
          <w:color w:val="000000"/>
          <w:sz w:val="24"/>
          <w:szCs w:val="24"/>
        </w:rPr>
        <w:t xml:space="preserve">the last three summers. Apprenticeships, while increasing student involvement, can build upon a central project </w:t>
      </w:r>
      <w:r>
        <w:rPr>
          <w:rFonts w:ascii="Times New Roman" w:eastAsia="Times New Roman" w:hAnsi="Times New Roman" w:cs="Times New Roman"/>
          <w:sz w:val="24"/>
          <w:szCs w:val="24"/>
        </w:rPr>
        <w:t>each</w:t>
      </w:r>
      <w:r>
        <w:rPr>
          <w:rFonts w:ascii="Times New Roman" w:eastAsia="Times New Roman" w:hAnsi="Times New Roman" w:cs="Times New Roman"/>
          <w:color w:val="000000"/>
          <w:sz w:val="24"/>
          <w:szCs w:val="24"/>
        </w:rPr>
        <w:t xml:space="preserve"> year or be tailored to a specific programmatic, community, or stakeholder need. Dr. Crist submitted different topics each year, ranging from farmers market food safety, impact of water quality on processed meat products, and cooking with functional foods for health for youth 4-H </w:t>
      </w:r>
      <w:r>
        <w:rPr>
          <w:rFonts w:ascii="Times New Roman" w:eastAsia="Times New Roman" w:hAnsi="Times New Roman" w:cs="Times New Roman"/>
          <w:sz w:val="24"/>
          <w:szCs w:val="24"/>
        </w:rPr>
        <w:t>programs</w:t>
      </w:r>
      <w:r>
        <w:rPr>
          <w:rFonts w:ascii="Times New Roman" w:eastAsia="Times New Roman" w:hAnsi="Times New Roman" w:cs="Times New Roman"/>
          <w:color w:val="000000"/>
          <w:sz w:val="24"/>
          <w:szCs w:val="24"/>
        </w:rPr>
        <w:t xml:space="preserve">. Each apprentice is able to explore </w:t>
      </w:r>
      <w:r>
        <w:rPr>
          <w:rFonts w:ascii="Times New Roman" w:eastAsia="Times New Roman" w:hAnsi="Times New Roman" w:cs="Times New Roman"/>
          <w:sz w:val="24"/>
          <w:szCs w:val="24"/>
        </w:rPr>
        <w:t xml:space="preserve">CES and food-related careers through </w:t>
      </w:r>
      <w:r>
        <w:rPr>
          <w:rFonts w:ascii="Times New Roman" w:eastAsia="Times New Roman" w:hAnsi="Times New Roman" w:cs="Times New Roman"/>
          <w:color w:val="000000"/>
          <w:sz w:val="24"/>
          <w:szCs w:val="24"/>
        </w:rPr>
        <w:t xml:space="preserve">an integrated research and outreach experiential learning experience. Student </w:t>
      </w:r>
      <w:r>
        <w:rPr>
          <w:rFonts w:ascii="Times New Roman" w:eastAsia="Times New Roman" w:hAnsi="Times New Roman" w:cs="Times New Roman"/>
          <w:sz w:val="24"/>
          <w:szCs w:val="24"/>
        </w:rPr>
        <w:t>apprentices</w:t>
      </w:r>
      <w:r>
        <w:rPr>
          <w:rFonts w:ascii="Times New Roman" w:eastAsia="Times New Roman" w:hAnsi="Times New Roman" w:cs="Times New Roman"/>
          <w:color w:val="000000"/>
          <w:sz w:val="24"/>
          <w:szCs w:val="24"/>
        </w:rPr>
        <w:t xml:space="preserve"> engage with CES personnel, work with various stakeholders, visit different field offices</w:t>
      </w:r>
      <w:r>
        <w:rPr>
          <w:rFonts w:ascii="Times New Roman" w:eastAsia="Times New Roman" w:hAnsi="Times New Roman" w:cs="Times New Roman"/>
          <w:sz w:val="24"/>
          <w:szCs w:val="24"/>
        </w:rPr>
        <w:t xml:space="preserve"> and </w:t>
      </w:r>
      <w:r>
        <w:rPr>
          <w:rFonts w:ascii="Times New Roman" w:eastAsia="Times New Roman" w:hAnsi="Times New Roman" w:cs="Times New Roman"/>
          <w:color w:val="000000"/>
          <w:sz w:val="24"/>
          <w:szCs w:val="24"/>
        </w:rPr>
        <w:t xml:space="preserve">food processing facilities, attend national conferences, and develop and present outputs (e.g., </w:t>
      </w:r>
      <w:r>
        <w:rPr>
          <w:rFonts w:ascii="Times New Roman" w:eastAsia="Times New Roman" w:hAnsi="Times New Roman" w:cs="Times New Roman"/>
          <w:sz w:val="24"/>
          <w:szCs w:val="24"/>
        </w:rPr>
        <w:t>seminars</w:t>
      </w:r>
      <w:r>
        <w:rPr>
          <w:rFonts w:ascii="Times New Roman" w:eastAsia="Times New Roman" w:hAnsi="Times New Roman" w:cs="Times New Roman"/>
          <w:color w:val="000000"/>
          <w:sz w:val="24"/>
          <w:szCs w:val="24"/>
        </w:rPr>
        <w:t xml:space="preserve">, posters, modules, </w:t>
      </w: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 xml:space="preserve">xtension publications, radio segments, webinars). Upon </w:t>
      </w:r>
      <w:r>
        <w:rPr>
          <w:rFonts w:ascii="Times New Roman" w:eastAsia="Times New Roman" w:hAnsi="Times New Roman" w:cs="Times New Roman"/>
          <w:sz w:val="24"/>
          <w:szCs w:val="24"/>
        </w:rPr>
        <w:t>completing</w:t>
      </w:r>
      <w:r>
        <w:rPr>
          <w:rFonts w:ascii="Times New Roman" w:eastAsia="Times New Roman" w:hAnsi="Times New Roman" w:cs="Times New Roman"/>
          <w:color w:val="000000"/>
          <w:sz w:val="24"/>
          <w:szCs w:val="24"/>
        </w:rPr>
        <w:t xml:space="preserve"> the</w:t>
      </w:r>
      <w:r>
        <w:rPr>
          <w:rFonts w:ascii="Times New Roman" w:eastAsia="Times New Roman" w:hAnsi="Times New Roman" w:cs="Times New Roman"/>
          <w:sz w:val="24"/>
          <w:szCs w:val="24"/>
        </w:rPr>
        <w:t xml:space="preserve">ir apprenticeships, students often remark on the positive impact and awareness </w:t>
      </w:r>
      <w:proofErr w:type="gramStart"/>
      <w:r>
        <w:rPr>
          <w:rFonts w:ascii="Times New Roman" w:eastAsia="Times New Roman" w:hAnsi="Times New Roman" w:cs="Times New Roman"/>
          <w:sz w:val="24"/>
          <w:szCs w:val="24"/>
        </w:rPr>
        <w:t>CES</w:t>
      </w:r>
      <w:proofErr w:type="gramEnd"/>
      <w:r>
        <w:rPr>
          <w:rFonts w:ascii="Times New Roman" w:eastAsia="Times New Roman" w:hAnsi="Times New Roman" w:cs="Times New Roman"/>
          <w:sz w:val="24"/>
          <w:szCs w:val="24"/>
        </w:rPr>
        <w:t xml:space="preserve"> and the apprenticeship have provided them. </w:t>
      </w:r>
    </w:p>
    <w:p w14:paraId="00000053" w14:textId="77777777" w:rsidR="00A014FB" w:rsidRDefault="00214A3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CES’ role in an evolving world</w:t>
      </w:r>
    </w:p>
    <w:p w14:paraId="00000054" w14:textId="77777777"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 our food system becomes more globalized, CES should be taken to a global platform to engage with international stakeholders through capacity building and shared experiences. Doing so will promote dialogue and collaborations to shape the next generation of globally-minded food safety professionals. Panelists shared their experiences with international CES initiatives ranging from targeted short courses to partnerships with defined goals.</w:t>
      </w:r>
    </w:p>
    <w:p w14:paraId="00000055" w14:textId="77777777"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develop the next generation of global citizens, study abroad and work abroad programs have increased. Dr. Rock spoke about an international student mentoring experience between the U.S., Australia, and New Zealand leveraged through CES, the Center for Produce </w:t>
      </w:r>
      <w:r>
        <w:rPr>
          <w:rFonts w:ascii="Times New Roman" w:eastAsia="Times New Roman" w:hAnsi="Times New Roman" w:cs="Times New Roman"/>
          <w:sz w:val="24"/>
          <w:szCs w:val="24"/>
        </w:rPr>
        <w:lastRenderedPageBreak/>
        <w:t>Safety, and the Australian Research Council’s Training Centre for Food Safety in the Fresh Produce Industry. Through this mentorship program, graduate students traveled between industry partners to participate in workshops and engage with international food businesses for later placement as food safety professionals in industry jobs abroad.</w:t>
      </w:r>
    </w:p>
    <w:p w14:paraId="00000056" w14:textId="77777777" w:rsidR="00A014FB" w:rsidRDefault="00214A3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ab/>
      </w:r>
      <w:r>
        <w:rPr>
          <w:rFonts w:ascii="Times New Roman" w:eastAsia="Times New Roman" w:hAnsi="Times New Roman" w:cs="Times New Roman"/>
          <w:sz w:val="24"/>
          <w:szCs w:val="24"/>
        </w:rPr>
        <w:t>Pre-existing short courses, originally taught through CES for an American-centric audience, have also been adapted with the commonality of shared experiences, to meet the needs of diverse international audiences. Dr. Chase spoke about consumer-based international CES efforts in Senegal through a partnership with agricultural collegiate departments affiliated with Virginia Cooperative Extension. She has trained and prepared agents/personnel for adapting and delivering international programming focused on home food safety and preservation practices to audiences with varied economic, physical, and infrastructural resources.</w:t>
      </w:r>
    </w:p>
    <w:p w14:paraId="4113F184" w14:textId="77777777" w:rsidR="00FF62D2" w:rsidRDefault="00214A31" w:rsidP="0080252A">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Global collaboration not only increases knowledge, but increases collaborative engagement and adaptation, to address present and emerging public health issues. Panelists described the success of multi-collegial/departmental university partnerships. One such partnership between Penn State and Virginia Tech resulted in the development of the International Food Safety Initiative (IFSI) in the College of Agricultural Sciences (Penn State). With funding from USAID, the IFSI was responsible for the development and dissemination of a month-long  “food safety systems management” program in Armenia in 2017 </w:t>
      </w:r>
      <w:r>
        <w:rPr>
          <w:rFonts w:ascii="Times New Roman" w:eastAsia="Times New Roman" w:hAnsi="Times New Roman" w:cs="Times New Roman"/>
          <w:i/>
          <w:sz w:val="24"/>
          <w:szCs w:val="24"/>
        </w:rPr>
        <w:t>(25)</w:t>
      </w:r>
      <w:r>
        <w:rPr>
          <w:rFonts w:ascii="Times New Roman" w:eastAsia="Times New Roman" w:hAnsi="Times New Roman" w:cs="Times New Roman"/>
          <w:sz w:val="24"/>
          <w:szCs w:val="24"/>
        </w:rPr>
        <w:t xml:space="preserve">. With assistance from the National University of Life Sciences (NULS) and private funding (Woskob Century Fund, Penn State), a 5-week “food safety short course” was offered in Ukraine. In both instances,  participants increased knowledge in food safety and hygienic principles and practices </w:t>
      </w:r>
      <w:r>
        <w:rPr>
          <w:rFonts w:ascii="Times New Roman" w:eastAsia="Times New Roman" w:hAnsi="Times New Roman" w:cs="Times New Roman"/>
          <w:i/>
          <w:sz w:val="24"/>
          <w:szCs w:val="24"/>
        </w:rPr>
        <w:t>(10, 26, 28)</w:t>
      </w:r>
      <w:r>
        <w:rPr>
          <w:rFonts w:ascii="Times New Roman" w:eastAsia="Times New Roman" w:hAnsi="Times New Roman" w:cs="Times New Roman"/>
          <w:sz w:val="24"/>
          <w:szCs w:val="24"/>
        </w:rPr>
        <w:t xml:space="preserve">. Upon completion of the course, enrolled individuals could leverage this experience to pursue food science and industry careers. The IFSI has also been active in Ethiopia, Uganda, </w:t>
      </w:r>
      <w:r>
        <w:rPr>
          <w:rFonts w:ascii="Times New Roman" w:eastAsia="Times New Roman" w:hAnsi="Times New Roman" w:cs="Times New Roman"/>
          <w:sz w:val="24"/>
          <w:szCs w:val="24"/>
        </w:rPr>
        <w:lastRenderedPageBreak/>
        <w:t xml:space="preserve">and Mozambique. It has been critical in training the next generation of food safety industry professionals </w:t>
      </w:r>
      <w:r>
        <w:rPr>
          <w:rFonts w:ascii="Times New Roman" w:eastAsia="Times New Roman" w:hAnsi="Times New Roman" w:cs="Times New Roman"/>
          <w:i/>
          <w:sz w:val="24"/>
          <w:szCs w:val="24"/>
        </w:rPr>
        <w:t>(26)</w:t>
      </w:r>
      <w:r>
        <w:rPr>
          <w:rFonts w:ascii="Times New Roman" w:eastAsia="Times New Roman" w:hAnsi="Times New Roman" w:cs="Times New Roman"/>
          <w:sz w:val="24"/>
          <w:szCs w:val="24"/>
        </w:rPr>
        <w:t>. The IFSI also received funds from USDA-FAS for international FSMA education in Central America. To build capacity, self-efficacy, and maximize program longevity, the IFSI has trained in-country instructors to continue carrying the courses forward, ensuring the sustainability of the course, the program, and its people. As the global food economy grows and becomes increasingly interconnected, there are increasing opportunities for sharing training techniques, gaining global perspectives, and addressing global food safety needs.</w:t>
      </w:r>
    </w:p>
    <w:p w14:paraId="00000058" w14:textId="0CEBD97A" w:rsidR="00A014FB" w:rsidRPr="00473313" w:rsidRDefault="00FF62D2" w:rsidP="0080252A">
      <w:pPr>
        <w:pStyle w:val="Normal1"/>
        <w:spacing w:line="480" w:lineRule="auto"/>
        <w:ind w:firstLine="720"/>
        <w:rPr>
          <w:rFonts w:ascii="Times New Roman" w:eastAsia="Times New Roman" w:hAnsi="Times New Roman" w:cs="Times New Roman"/>
          <w:sz w:val="24"/>
          <w:szCs w:val="24"/>
          <w:lang w:val="en-US"/>
        </w:rPr>
      </w:pPr>
      <w:r w:rsidRPr="00FF62D2">
        <w:rPr>
          <w:rFonts w:ascii="Times New Roman" w:eastAsia="Times New Roman" w:hAnsi="Times New Roman" w:cs="Times New Roman"/>
          <w:sz w:val="24"/>
          <w:szCs w:val="24"/>
          <w:lang w:val="en-US"/>
        </w:rPr>
        <w:t>Through both collaborations and support, the food, agriculture, and public health also benefit greatly from CES’ presence and involvement. CES programs, like Virginia Tech’s Food Innovations Program, support food entrepreneurs in the product development process while providing consultation and guidance pertaining towards specific regulations. Additionally, depending on their qualifications, CES personnel can serve as the Process Authority for certain food and processing industry organizations. CES can also provide USDA or FSMA-aligned food safety trainings (e.g.</w:t>
      </w:r>
      <w:r>
        <w:rPr>
          <w:rFonts w:ascii="Times New Roman" w:eastAsia="Times New Roman" w:hAnsi="Times New Roman" w:cs="Times New Roman"/>
          <w:sz w:val="24"/>
          <w:szCs w:val="24"/>
          <w:lang w:val="en-US"/>
        </w:rPr>
        <w:t>,</w:t>
      </w:r>
      <w:r w:rsidRPr="00FF62D2">
        <w:rPr>
          <w:rFonts w:ascii="Times New Roman" w:eastAsia="Times New Roman" w:hAnsi="Times New Roman" w:cs="Times New Roman"/>
          <w:sz w:val="24"/>
          <w:szCs w:val="24"/>
          <w:lang w:val="en-US"/>
        </w:rPr>
        <w:t xml:space="preserve"> </w:t>
      </w:r>
      <w:proofErr w:type="spellStart"/>
      <w:r w:rsidRPr="00FF62D2">
        <w:rPr>
          <w:rFonts w:ascii="Times New Roman" w:eastAsia="Times New Roman" w:hAnsi="Times New Roman" w:cs="Times New Roman"/>
          <w:sz w:val="24"/>
          <w:szCs w:val="24"/>
          <w:lang w:val="en-US"/>
        </w:rPr>
        <w:t>ServSafe</w:t>
      </w:r>
      <w:proofErr w:type="spellEnd"/>
      <w:r w:rsidRPr="00FF62D2">
        <w:rPr>
          <w:rFonts w:ascii="Times New Roman" w:eastAsia="Times New Roman" w:hAnsi="Times New Roman" w:cs="Times New Roman"/>
          <w:sz w:val="24"/>
          <w:szCs w:val="24"/>
          <w:lang w:val="en-US"/>
        </w:rPr>
        <w:t xml:space="preserve"> for food service and restaurants, PSA training for growers/producers, HACCP trainings for the meat and seafood industries, etc.), mock audits or assessments (or in some cases, are directly involved in the audit process, itself), and are part of the regulatory/public health process as an advocative body for forthcoming policies and legislations. CES also frequently acts as a liaison between academic institutions and industry through consultancy and applicability of new technologies and new research areas to bolster and increase safety within the food and agricultural industries.</w:t>
      </w:r>
      <w:r w:rsidR="00214A31">
        <w:rPr>
          <w:rFonts w:ascii="Times New Roman" w:eastAsia="Times New Roman" w:hAnsi="Times New Roman" w:cs="Times New Roman"/>
          <w:sz w:val="24"/>
          <w:szCs w:val="24"/>
        </w:rPr>
        <w:t xml:space="preserve"> </w:t>
      </w:r>
    </w:p>
    <w:p w14:paraId="00000059" w14:textId="02276285" w:rsidR="00A014FB" w:rsidRDefault="00214A31">
      <w:pPr>
        <w:pStyle w:val="Normal1"/>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LOOKING AHEAD: REVITALIZING THE FUTURE OF FOOD SAFETY EXTENSION</w:t>
      </w:r>
    </w:p>
    <w:p w14:paraId="0000005A" w14:textId="77777777"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crises, CES quickly fills gaps that impact food systems and safety within the global community. At the start of the SARS-CoV-2/COVID-19 pandemic, CES responded quickly to </w:t>
      </w:r>
      <w:r>
        <w:rPr>
          <w:rFonts w:ascii="Times New Roman" w:eastAsia="Times New Roman" w:hAnsi="Times New Roman" w:cs="Times New Roman"/>
          <w:sz w:val="24"/>
          <w:szCs w:val="24"/>
        </w:rPr>
        <w:lastRenderedPageBreak/>
        <w:t xml:space="preserve">the disruption in the global food supply and food safety misinformation. </w:t>
      </w:r>
      <w:r>
        <w:rPr>
          <w:rFonts w:ascii="Times New Roman" w:eastAsia="Times New Roman" w:hAnsi="Times New Roman" w:cs="Times New Roman"/>
          <w:sz w:val="24"/>
          <w:szCs w:val="24"/>
          <w:highlight w:val="white"/>
        </w:rPr>
        <w:t xml:space="preserve">CES efforts have shortened personal food chains through Master Gardener programs, facilitated the distribution of donated foods, offered individual guidance to the food industry, and disseminated food safety resources for best practices on grocery shopping and ordering food for consumers </w:t>
      </w:r>
      <w:r>
        <w:rPr>
          <w:rFonts w:ascii="Times New Roman" w:eastAsia="Times New Roman" w:hAnsi="Times New Roman" w:cs="Times New Roman"/>
          <w:i/>
          <w:sz w:val="24"/>
          <w:szCs w:val="24"/>
        </w:rPr>
        <w:t>(4, 14, 39)</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Penn State Extension and VCE developed COVID-19-specific resource webpages with programming and publication information in multiple languages for food industry professionals, retail and food service employees, and consumers</w:t>
      </w:r>
      <w:r>
        <w:rPr>
          <w:rFonts w:ascii="Times New Roman" w:eastAsia="Times New Roman" w:hAnsi="Times New Roman" w:cs="Times New Roman"/>
          <w:i/>
          <w:sz w:val="24"/>
          <w:szCs w:val="24"/>
        </w:rPr>
        <w:t>(27, 47)</w:t>
      </w:r>
      <w:r>
        <w:rPr>
          <w:rFonts w:ascii="Times New Roman" w:eastAsia="Times New Roman" w:hAnsi="Times New Roman" w:cs="Times New Roman"/>
          <w:sz w:val="24"/>
          <w:szCs w:val="24"/>
        </w:rPr>
        <w:t xml:space="preserve">. As with many other Extension programs, VCE administration directed educators to convert programs to an online format due to public health guidelines; many remain online as regulations ease as a result of increased accessibility. The PSA also moved their grower and trainers’ trainings online </w:t>
      </w:r>
      <w:r>
        <w:rPr>
          <w:rFonts w:ascii="Times New Roman" w:eastAsia="Times New Roman" w:hAnsi="Times New Roman" w:cs="Times New Roman"/>
          <w:i/>
          <w:sz w:val="24"/>
          <w:szCs w:val="24"/>
        </w:rPr>
        <w:t>(33)</w:t>
      </w:r>
      <w:r>
        <w:rPr>
          <w:rFonts w:ascii="Times New Roman" w:eastAsia="Times New Roman" w:hAnsi="Times New Roman" w:cs="Times New Roman"/>
          <w:sz w:val="24"/>
          <w:szCs w:val="24"/>
        </w:rPr>
        <w:t xml:space="preserve">. It is yet to be determined how much programming will remain online in the medium-to-long term post COVID-19 pandemic, compared to how much will return to in-person formats. </w:t>
      </w:r>
    </w:p>
    <w:p w14:paraId="0000005B" w14:textId="77777777" w:rsidR="00A014FB" w:rsidRDefault="00214A31">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CES educators are also engaging in critical reflection to determine how programs may have previously contributed to social injustices and how programs can inclusively and equitably reach, empower, and serve diverse audiences. For example, VCE has named an Extension Leader for Inclusion and Diversity to lead professional development and promote inclusive practices </w:t>
      </w:r>
      <w:r>
        <w:rPr>
          <w:rFonts w:ascii="Times New Roman" w:eastAsia="Times New Roman" w:hAnsi="Times New Roman" w:cs="Times New Roman"/>
          <w:i/>
          <w:sz w:val="24"/>
          <w:szCs w:val="24"/>
        </w:rPr>
        <w:t>(48)</w:t>
      </w:r>
      <w:r>
        <w:rPr>
          <w:rFonts w:ascii="Times New Roman" w:eastAsia="Times New Roman" w:hAnsi="Times New Roman" w:cs="Times New Roman"/>
          <w:sz w:val="24"/>
          <w:szCs w:val="24"/>
        </w:rPr>
        <w:t xml:space="preserve">. The Safe Plates Food Safety Information Center, housed at North Carolina State University, has made a similar commitment to conduct internal evaluation of their work through the lens of inclusion and equity, with public-facing follow-up for accountability </w:t>
      </w:r>
      <w:r>
        <w:rPr>
          <w:rFonts w:ascii="Times New Roman" w:eastAsia="Times New Roman" w:hAnsi="Times New Roman" w:cs="Times New Roman"/>
          <w:i/>
          <w:sz w:val="24"/>
          <w:szCs w:val="24"/>
        </w:rPr>
        <w:t>(35, 36)</w:t>
      </w:r>
      <w:r>
        <w:rPr>
          <w:rFonts w:ascii="Times New Roman" w:eastAsia="Times New Roman" w:hAnsi="Times New Roman" w:cs="Times New Roman"/>
          <w:sz w:val="24"/>
          <w:szCs w:val="24"/>
        </w:rPr>
        <w:t xml:space="preserve">. Furthermore, Michigan State University Center for Low-Moisture Food Safety, convened a Diversity, Equity, and Inclusion Advisory Team to strategically inform their efforts </w:t>
      </w:r>
      <w:r>
        <w:rPr>
          <w:rFonts w:ascii="Times New Roman" w:eastAsia="Times New Roman" w:hAnsi="Times New Roman" w:cs="Times New Roman"/>
          <w:i/>
          <w:sz w:val="24"/>
          <w:szCs w:val="24"/>
        </w:rPr>
        <w:t>(19)</w:t>
      </w:r>
      <w:r>
        <w:rPr>
          <w:rFonts w:ascii="Times New Roman" w:eastAsia="Times New Roman" w:hAnsi="Times New Roman" w:cs="Times New Roman"/>
          <w:sz w:val="24"/>
          <w:szCs w:val="24"/>
        </w:rPr>
        <w:t xml:space="preserve">. Each of these programs have committed to the long-term program and professional development necessary to truly serve all who can benefit from CES. </w:t>
      </w:r>
    </w:p>
    <w:p w14:paraId="0000005D" w14:textId="6848517E" w:rsidR="00A014FB" w:rsidRDefault="00214A31" w:rsidP="0080252A">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CES has endured for over a century; its merit and potential are known to those involved with it and impacted by it. With concurrent evolutions in community outreach, higher education, shifting social discourse, and governmental regulations, CES must be revitalized to better serve national and global communities;“revitalizing” meaning to “give new life or vigor to” </w:t>
      </w:r>
      <w:r>
        <w:rPr>
          <w:rFonts w:ascii="Times New Roman" w:eastAsia="Times New Roman" w:hAnsi="Times New Roman" w:cs="Times New Roman"/>
          <w:i/>
          <w:sz w:val="24"/>
          <w:szCs w:val="24"/>
        </w:rPr>
        <w:t>(18)</w:t>
      </w:r>
      <w:r>
        <w:rPr>
          <w:rFonts w:ascii="Times New Roman" w:eastAsia="Times New Roman" w:hAnsi="Times New Roman" w:cs="Times New Roman"/>
          <w:sz w:val="24"/>
          <w:szCs w:val="24"/>
        </w:rPr>
        <w:t xml:space="preserve">. We must continue to assess the health of CES to respond accordingly to optimize our impact and ensure the CES’ longevity. This article does not seek </w:t>
      </w:r>
      <w:r>
        <w:rPr>
          <w:rFonts w:ascii="Times New Roman" w:eastAsia="Times New Roman" w:hAnsi="Times New Roman" w:cs="Times New Roman"/>
          <w:sz w:val="24"/>
          <w:szCs w:val="24"/>
          <w:highlight w:val="white"/>
        </w:rPr>
        <w:t xml:space="preserve">to address and resolve all CES issues; its purpose is to highlight major challenges and demonstrate practices that CES personnel involved in food safety efforts have faced and overcome. </w:t>
      </w:r>
      <w:r>
        <w:rPr>
          <w:rFonts w:ascii="Times New Roman" w:eastAsia="Times New Roman" w:hAnsi="Times New Roman" w:cs="Times New Roman"/>
          <w:sz w:val="24"/>
          <w:szCs w:val="24"/>
        </w:rPr>
        <w:t xml:space="preserve">The authors intend for this article to serve as: 1) a consolidated framework resource for educational purposes; 2) an invitation to collaborate with food safety CES personnel; and 3) a call for support and advocacy for CES and those within it. We also aim to highlight the value and impact CES has, and will continue to have, in making food safer and more equitable by bringing “evidence-based science and modern technologies to farmers, consumers, and families” </w:t>
      </w:r>
      <w:r>
        <w:rPr>
          <w:rFonts w:ascii="Times New Roman" w:eastAsia="Times New Roman" w:hAnsi="Times New Roman" w:cs="Times New Roman"/>
          <w:i/>
          <w:sz w:val="24"/>
          <w:szCs w:val="24"/>
        </w:rPr>
        <w:t>(20)</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yellow"/>
        </w:rPr>
        <w:t xml:space="preserve"> </w:t>
      </w:r>
    </w:p>
    <w:p w14:paraId="0000005E" w14:textId="77777777" w:rsidR="00A014FB" w:rsidRDefault="00214A31" w:rsidP="0080252A">
      <w:pPr>
        <w:pStyle w:val="Normal1"/>
        <w:spacing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*The authors acknowledge that the article reflects the opinions and perceptions of independent experiences of various individuals (e.g., panelists, audience members, authors) and may not represent the experiences of all CES personnel. </w:t>
      </w:r>
    </w:p>
    <w:p w14:paraId="0000005F" w14:textId="77777777" w:rsidR="00A014FB" w:rsidRDefault="00A014FB">
      <w:pPr>
        <w:pStyle w:val="Normal1"/>
        <w:spacing w:line="480" w:lineRule="auto"/>
        <w:rPr>
          <w:rFonts w:ascii="Times New Roman" w:eastAsia="Times New Roman" w:hAnsi="Times New Roman" w:cs="Times New Roman"/>
          <w:sz w:val="24"/>
          <w:szCs w:val="24"/>
        </w:rPr>
      </w:pPr>
    </w:p>
    <w:p w14:paraId="00000060" w14:textId="77777777" w:rsidR="00A014FB" w:rsidRDefault="00214A31">
      <w:pPr>
        <w:pStyle w:val="Normal1"/>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ACKNOWLEDGEMENTS</w:t>
      </w:r>
    </w:p>
    <w:p w14:paraId="00000061" w14:textId="77777777" w:rsidR="00A014FB" w:rsidRDefault="00214A31" w:rsidP="0080252A">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authors thank the panelists for their participation in the roundtable discussion and review of the article.</w:t>
      </w:r>
    </w:p>
    <w:p w14:paraId="00000062" w14:textId="77777777" w:rsidR="00A014FB" w:rsidRDefault="00A014FB">
      <w:pPr>
        <w:pStyle w:val="Normal1"/>
        <w:spacing w:line="480" w:lineRule="auto"/>
        <w:rPr>
          <w:rFonts w:ascii="Times New Roman" w:eastAsia="Times New Roman" w:hAnsi="Times New Roman" w:cs="Times New Roman"/>
          <w:sz w:val="24"/>
          <w:szCs w:val="24"/>
        </w:rPr>
      </w:pPr>
    </w:p>
    <w:p w14:paraId="00000063" w14:textId="77777777" w:rsidR="00A014FB" w:rsidRDefault="00A014FB">
      <w:pPr>
        <w:pStyle w:val="Normal1"/>
        <w:spacing w:line="480" w:lineRule="auto"/>
        <w:rPr>
          <w:rFonts w:ascii="Times New Roman" w:eastAsia="Times New Roman" w:hAnsi="Times New Roman" w:cs="Times New Roman"/>
          <w:b/>
          <w:sz w:val="24"/>
          <w:szCs w:val="24"/>
        </w:rPr>
      </w:pPr>
    </w:p>
    <w:p w14:paraId="00000064" w14:textId="77777777" w:rsidR="00A014FB" w:rsidRDefault="00A014FB">
      <w:pPr>
        <w:pStyle w:val="Normal1"/>
        <w:spacing w:line="480" w:lineRule="auto"/>
        <w:rPr>
          <w:rFonts w:ascii="Times New Roman" w:eastAsia="Times New Roman" w:hAnsi="Times New Roman" w:cs="Times New Roman"/>
          <w:b/>
          <w:sz w:val="24"/>
          <w:szCs w:val="24"/>
        </w:rPr>
      </w:pPr>
    </w:p>
    <w:p w14:paraId="00000065" w14:textId="77777777" w:rsidR="00A014FB" w:rsidRDefault="00A014FB">
      <w:pPr>
        <w:pStyle w:val="Normal1"/>
        <w:spacing w:line="480" w:lineRule="auto"/>
        <w:rPr>
          <w:rFonts w:ascii="Times New Roman" w:eastAsia="Times New Roman" w:hAnsi="Times New Roman" w:cs="Times New Roman"/>
          <w:b/>
          <w:sz w:val="24"/>
          <w:szCs w:val="24"/>
        </w:rPr>
      </w:pPr>
    </w:p>
    <w:p w14:paraId="00000066" w14:textId="77777777" w:rsidR="00A014FB" w:rsidRDefault="00A014FB">
      <w:pPr>
        <w:pStyle w:val="Normal1"/>
        <w:spacing w:line="480" w:lineRule="auto"/>
        <w:rPr>
          <w:rFonts w:ascii="Times New Roman" w:eastAsia="Times New Roman" w:hAnsi="Times New Roman" w:cs="Times New Roman"/>
          <w:b/>
          <w:sz w:val="24"/>
          <w:szCs w:val="24"/>
        </w:rPr>
      </w:pPr>
    </w:p>
    <w:p w14:paraId="00000067" w14:textId="77777777" w:rsidR="00A014FB" w:rsidRDefault="00A014FB">
      <w:pPr>
        <w:pStyle w:val="Normal1"/>
        <w:spacing w:line="480" w:lineRule="auto"/>
        <w:rPr>
          <w:rFonts w:ascii="Times New Roman" w:eastAsia="Times New Roman" w:hAnsi="Times New Roman" w:cs="Times New Roman"/>
          <w:b/>
          <w:sz w:val="24"/>
          <w:szCs w:val="24"/>
        </w:rPr>
      </w:pPr>
    </w:p>
    <w:p w14:paraId="00000068" w14:textId="77777777" w:rsidR="00A014FB" w:rsidRDefault="00A014FB">
      <w:pPr>
        <w:pStyle w:val="Normal1"/>
        <w:spacing w:line="480" w:lineRule="auto"/>
        <w:rPr>
          <w:rFonts w:ascii="Times New Roman" w:eastAsia="Times New Roman" w:hAnsi="Times New Roman" w:cs="Times New Roman"/>
          <w:b/>
          <w:sz w:val="24"/>
          <w:szCs w:val="24"/>
        </w:rPr>
      </w:pPr>
    </w:p>
    <w:p w14:paraId="00000069" w14:textId="77777777" w:rsidR="00A014FB" w:rsidRDefault="00A014FB">
      <w:pPr>
        <w:pStyle w:val="Normal1"/>
        <w:spacing w:line="480" w:lineRule="auto"/>
        <w:rPr>
          <w:rFonts w:ascii="Times New Roman" w:eastAsia="Times New Roman" w:hAnsi="Times New Roman" w:cs="Times New Roman"/>
          <w:b/>
          <w:sz w:val="24"/>
          <w:szCs w:val="24"/>
        </w:rPr>
      </w:pPr>
    </w:p>
    <w:p w14:paraId="0000006A" w14:textId="77777777" w:rsidR="00A014FB" w:rsidRDefault="00A014FB">
      <w:pPr>
        <w:pStyle w:val="Normal1"/>
        <w:spacing w:line="480" w:lineRule="auto"/>
        <w:rPr>
          <w:rFonts w:ascii="Times New Roman" w:eastAsia="Times New Roman" w:hAnsi="Times New Roman" w:cs="Times New Roman"/>
          <w:b/>
          <w:sz w:val="24"/>
          <w:szCs w:val="24"/>
        </w:rPr>
      </w:pPr>
    </w:p>
    <w:p w14:paraId="6EAAFA37" w14:textId="192C7BB3" w:rsidR="00314FD6" w:rsidRDefault="00314FD6">
      <w:pPr>
        <w:pStyle w:val="Normal1"/>
        <w:spacing w:line="480" w:lineRule="auto"/>
        <w:rPr>
          <w:rFonts w:ascii="Times New Roman" w:eastAsia="Times New Roman" w:hAnsi="Times New Roman" w:cs="Times New Roman"/>
          <w:b/>
          <w:sz w:val="24"/>
          <w:szCs w:val="24"/>
        </w:rPr>
      </w:pPr>
    </w:p>
    <w:p w14:paraId="5A923CEB" w14:textId="6FC428B8" w:rsidR="00314FD6" w:rsidRDefault="00314FD6">
      <w:pPr>
        <w:pStyle w:val="Normal1"/>
        <w:spacing w:line="480" w:lineRule="auto"/>
        <w:rPr>
          <w:rFonts w:ascii="Times New Roman" w:eastAsia="Times New Roman" w:hAnsi="Times New Roman" w:cs="Times New Roman"/>
          <w:b/>
          <w:sz w:val="24"/>
          <w:szCs w:val="24"/>
        </w:rPr>
      </w:pPr>
    </w:p>
    <w:p w14:paraId="535B14FA" w14:textId="5A4B6853" w:rsidR="00314FD6" w:rsidRDefault="00314FD6">
      <w:pPr>
        <w:pStyle w:val="Normal1"/>
        <w:spacing w:line="480" w:lineRule="auto"/>
        <w:rPr>
          <w:rFonts w:ascii="Times New Roman" w:eastAsia="Times New Roman" w:hAnsi="Times New Roman" w:cs="Times New Roman"/>
          <w:b/>
          <w:sz w:val="24"/>
          <w:szCs w:val="24"/>
        </w:rPr>
      </w:pPr>
    </w:p>
    <w:p w14:paraId="19EE10F2" w14:textId="5BD6C88E" w:rsidR="00314FD6" w:rsidRDefault="00314FD6">
      <w:pPr>
        <w:pStyle w:val="Normal1"/>
        <w:spacing w:line="480" w:lineRule="auto"/>
        <w:rPr>
          <w:rFonts w:ascii="Times New Roman" w:eastAsia="Times New Roman" w:hAnsi="Times New Roman" w:cs="Times New Roman"/>
          <w:b/>
          <w:sz w:val="24"/>
          <w:szCs w:val="24"/>
        </w:rPr>
      </w:pPr>
    </w:p>
    <w:p w14:paraId="59D8E61F" w14:textId="3320BA01" w:rsidR="00314FD6" w:rsidRDefault="00314FD6">
      <w:pPr>
        <w:pStyle w:val="Normal1"/>
        <w:spacing w:line="480" w:lineRule="auto"/>
        <w:rPr>
          <w:rFonts w:ascii="Times New Roman" w:eastAsia="Times New Roman" w:hAnsi="Times New Roman" w:cs="Times New Roman"/>
          <w:b/>
          <w:sz w:val="24"/>
          <w:szCs w:val="24"/>
        </w:rPr>
      </w:pPr>
    </w:p>
    <w:p w14:paraId="098C7C1A" w14:textId="4DB433C5" w:rsidR="00314FD6" w:rsidRDefault="00314FD6">
      <w:pPr>
        <w:pStyle w:val="Normal1"/>
        <w:spacing w:line="480" w:lineRule="auto"/>
        <w:rPr>
          <w:rFonts w:ascii="Times New Roman" w:eastAsia="Times New Roman" w:hAnsi="Times New Roman" w:cs="Times New Roman"/>
          <w:b/>
          <w:sz w:val="24"/>
          <w:szCs w:val="24"/>
        </w:rPr>
      </w:pPr>
    </w:p>
    <w:p w14:paraId="1532E92E" w14:textId="1FDA6B9B" w:rsidR="00314FD6" w:rsidRDefault="00314FD6">
      <w:pPr>
        <w:pStyle w:val="Normal1"/>
        <w:spacing w:line="480" w:lineRule="auto"/>
        <w:rPr>
          <w:rFonts w:ascii="Times New Roman" w:eastAsia="Times New Roman" w:hAnsi="Times New Roman" w:cs="Times New Roman"/>
          <w:b/>
          <w:sz w:val="24"/>
          <w:szCs w:val="24"/>
        </w:rPr>
      </w:pPr>
    </w:p>
    <w:p w14:paraId="195ECDB0" w14:textId="611AB8A6" w:rsidR="00314FD6" w:rsidRDefault="00314FD6">
      <w:pPr>
        <w:pStyle w:val="Normal1"/>
        <w:spacing w:line="480" w:lineRule="auto"/>
        <w:rPr>
          <w:rFonts w:ascii="Times New Roman" w:eastAsia="Times New Roman" w:hAnsi="Times New Roman" w:cs="Times New Roman"/>
          <w:b/>
          <w:sz w:val="24"/>
          <w:szCs w:val="24"/>
        </w:rPr>
      </w:pPr>
    </w:p>
    <w:p w14:paraId="592A93A4" w14:textId="20CD4F23" w:rsidR="00314FD6" w:rsidRDefault="00314FD6">
      <w:pPr>
        <w:pStyle w:val="Normal1"/>
        <w:spacing w:line="480" w:lineRule="auto"/>
        <w:rPr>
          <w:rFonts w:ascii="Times New Roman" w:eastAsia="Times New Roman" w:hAnsi="Times New Roman" w:cs="Times New Roman"/>
          <w:b/>
          <w:sz w:val="24"/>
          <w:szCs w:val="24"/>
        </w:rPr>
      </w:pPr>
    </w:p>
    <w:p w14:paraId="7F61BC1D" w14:textId="7436BE5D" w:rsidR="00314FD6" w:rsidRDefault="00314FD6">
      <w:pPr>
        <w:pStyle w:val="Normal1"/>
        <w:spacing w:line="480" w:lineRule="auto"/>
        <w:rPr>
          <w:rFonts w:ascii="Times New Roman" w:eastAsia="Times New Roman" w:hAnsi="Times New Roman" w:cs="Times New Roman"/>
          <w:b/>
          <w:sz w:val="24"/>
          <w:szCs w:val="24"/>
        </w:rPr>
      </w:pPr>
    </w:p>
    <w:p w14:paraId="7331DD2F" w14:textId="77777777" w:rsidR="00314FD6" w:rsidRDefault="00314FD6">
      <w:pPr>
        <w:pStyle w:val="Normal1"/>
        <w:spacing w:line="480" w:lineRule="auto"/>
        <w:rPr>
          <w:rFonts w:ascii="Times New Roman" w:eastAsia="Times New Roman" w:hAnsi="Times New Roman" w:cs="Times New Roman"/>
          <w:b/>
          <w:sz w:val="24"/>
          <w:szCs w:val="24"/>
        </w:rPr>
      </w:pPr>
    </w:p>
    <w:p w14:paraId="00000071" w14:textId="77777777" w:rsidR="00A014FB" w:rsidRDefault="00214A3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REFERENCES</w:t>
      </w:r>
    </w:p>
    <w:p w14:paraId="00000072" w14:textId="77777777" w:rsidR="00A014FB" w:rsidRDefault="00214A31" w:rsidP="0080252A">
      <w:pPr>
        <w:pStyle w:val="Normal1"/>
        <w:spacing w:line="480" w:lineRule="auto"/>
        <w:ind w:left="270" w:hanging="270"/>
        <w:rPr>
          <w:rFonts w:ascii="Times New Roman" w:eastAsia="Times New Roman" w:hAnsi="Times New Roman" w:cs="Times New Roman"/>
          <w:sz w:val="24"/>
          <w:szCs w:val="24"/>
        </w:rPr>
      </w:pPr>
      <w:r>
        <w:rPr>
          <w:rFonts w:ascii="Times New Roman" w:eastAsia="Times New Roman" w:hAnsi="Times New Roman" w:cs="Times New Roman"/>
          <w:sz w:val="24"/>
          <w:szCs w:val="24"/>
        </w:rPr>
        <w:t>1. American National Standards Institute (ANSI). 2020. ANSI-CFP Accreditation Program. Available at https://anab.ansi.org/credentialing/food-protection-manager. Accessed 30 March 2020.</w:t>
      </w:r>
    </w:p>
    <w:p w14:paraId="00000073" w14:textId="77777777" w:rsidR="00A014FB" w:rsidRDefault="00214A31" w:rsidP="0080252A">
      <w:pPr>
        <w:pStyle w:val="Normal1"/>
        <w:spacing w:line="480" w:lineRule="auto"/>
        <w:ind w:left="270" w:hanging="27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Arnold N. L, L. Yang, and R. Boyer. 2020. Safe Processing, Safe Food: Food Processing Infosheets for Extension Educators. </w:t>
      </w:r>
      <w:r>
        <w:rPr>
          <w:rFonts w:ascii="Times New Roman" w:eastAsia="Times New Roman" w:hAnsi="Times New Roman" w:cs="Times New Roman"/>
          <w:i/>
          <w:sz w:val="24"/>
          <w:szCs w:val="24"/>
        </w:rPr>
        <w:t>J. Ext.</w:t>
      </w:r>
      <w:r>
        <w:rPr>
          <w:rFonts w:ascii="Times New Roman" w:eastAsia="Times New Roman" w:hAnsi="Times New Roman" w:cs="Times New Roman"/>
          <w:sz w:val="24"/>
          <w:szCs w:val="24"/>
        </w:rPr>
        <w:t xml:space="preserve"> 58: v58-1tt7. Accessed 14 April 2020.</w:t>
      </w:r>
    </w:p>
    <w:p w14:paraId="00000074" w14:textId="77777777" w:rsidR="00A014FB" w:rsidRDefault="00214A31" w:rsidP="0080252A">
      <w:pPr>
        <w:pStyle w:val="Normal1"/>
        <w:spacing w:line="480" w:lineRule="auto"/>
        <w:ind w:left="270" w:hanging="27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3. Brown, P. W., D. M. Otto, and M. D. Ouart. 2006. A new funding model for Extension. </w:t>
      </w:r>
      <w:r>
        <w:rPr>
          <w:rFonts w:ascii="Times New Roman" w:eastAsia="Times New Roman" w:hAnsi="Times New Roman" w:cs="Times New Roman"/>
          <w:i/>
          <w:sz w:val="24"/>
          <w:szCs w:val="24"/>
        </w:rPr>
        <w:t>J. High. Educ. Outreach Engagem.</w:t>
      </w:r>
      <w:r>
        <w:rPr>
          <w:rFonts w:ascii="Times New Roman" w:eastAsia="Times New Roman" w:hAnsi="Times New Roman" w:cs="Times New Roman"/>
          <w:sz w:val="24"/>
          <w:szCs w:val="24"/>
        </w:rPr>
        <w:t xml:space="preserve"> 11:101-116.</w:t>
      </w:r>
    </w:p>
    <w:p w14:paraId="00000075" w14:textId="77777777" w:rsidR="00A014FB" w:rsidRDefault="00214A31" w:rsidP="0080252A">
      <w:pPr>
        <w:pStyle w:val="Normal1"/>
        <w:spacing w:line="480" w:lineRule="auto"/>
        <w:ind w:left="270" w:hanging="270"/>
        <w:rPr>
          <w:rFonts w:ascii="Times New Roman" w:eastAsia="Times New Roman" w:hAnsi="Times New Roman" w:cs="Times New Roman"/>
          <w:sz w:val="24"/>
          <w:szCs w:val="24"/>
        </w:rPr>
      </w:pPr>
      <w:r>
        <w:rPr>
          <w:rFonts w:ascii="Times New Roman" w:eastAsia="Times New Roman" w:hAnsi="Times New Roman" w:cs="Times New Roman"/>
          <w:sz w:val="24"/>
          <w:szCs w:val="24"/>
        </w:rPr>
        <w:t>4. Chapman, B., N. Seymour, and M. Yavelak2020. COVID-19 Food Safety Resources. NC State Ext. Available at https://foodsafety.ces.ncsu.edu/covid-19-resources/. Accessed 19 July 2020.</w:t>
      </w:r>
    </w:p>
    <w:p w14:paraId="00000076" w14:textId="77777777" w:rsidR="00A014FB" w:rsidRDefault="00214A31" w:rsidP="0080252A">
      <w:pPr>
        <w:pStyle w:val="Normal1"/>
        <w:spacing w:line="480" w:lineRule="auto"/>
        <w:ind w:left="270" w:hanging="270"/>
        <w:rPr>
          <w:rFonts w:ascii="Times New Roman" w:eastAsia="Times New Roman" w:hAnsi="Times New Roman" w:cs="Times New Roman"/>
          <w:sz w:val="24"/>
          <w:szCs w:val="24"/>
        </w:rPr>
      </w:pPr>
      <w:r>
        <w:rPr>
          <w:rFonts w:ascii="Times New Roman" w:eastAsia="Times New Roman" w:hAnsi="Times New Roman" w:cs="Times New Roman"/>
          <w:sz w:val="24"/>
          <w:szCs w:val="24"/>
        </w:rPr>
        <w:t>5. Chase, M., R. Boyer, and K. Gehrt. 2013. Concept for piloting new ways to address food safety education needs: Equipping food handlers with workplace skills. Unpublished report. Virginia Tech and Virginia Cooperative Extension, Blacksburg, VA.</w:t>
      </w:r>
    </w:p>
    <w:p w14:paraId="00000077" w14:textId="77777777" w:rsidR="00A014FB" w:rsidRDefault="00214A31" w:rsidP="0080252A">
      <w:pPr>
        <w:pStyle w:val="Normal1"/>
        <w:spacing w:line="480" w:lineRule="auto"/>
        <w:ind w:left="270" w:hanging="270"/>
        <w:rPr>
          <w:rFonts w:ascii="Times New Roman" w:eastAsia="Times New Roman" w:hAnsi="Times New Roman" w:cs="Times New Roman"/>
          <w:sz w:val="24"/>
          <w:szCs w:val="24"/>
        </w:rPr>
      </w:pPr>
      <w:r>
        <w:rPr>
          <w:rFonts w:ascii="Times New Roman" w:eastAsia="Times New Roman" w:hAnsi="Times New Roman" w:cs="Times New Roman"/>
          <w:sz w:val="24"/>
          <w:szCs w:val="24"/>
        </w:rPr>
        <w:t>6. Cornell CALS. 2020. About: National Good Agricultural Practices program. Available at https://gaps.cornell.edu/about/. Accessed 14 April 2020.</w:t>
      </w:r>
    </w:p>
    <w:p w14:paraId="00000078" w14:textId="77777777" w:rsidR="00A014FB" w:rsidRDefault="00214A31" w:rsidP="0080252A">
      <w:pPr>
        <w:pStyle w:val="Normal1"/>
        <w:spacing w:line="480" w:lineRule="auto"/>
        <w:ind w:left="270" w:hanging="270"/>
        <w:rPr>
          <w:rFonts w:ascii="Times New Roman" w:eastAsia="Times New Roman" w:hAnsi="Times New Roman" w:cs="Times New Roman"/>
          <w:sz w:val="24"/>
          <w:szCs w:val="24"/>
        </w:rPr>
      </w:pPr>
      <w:r>
        <w:rPr>
          <w:rFonts w:ascii="Times New Roman" w:eastAsia="Times New Roman" w:hAnsi="Times New Roman" w:cs="Times New Roman"/>
          <w:sz w:val="24"/>
          <w:szCs w:val="24"/>
        </w:rPr>
        <w:t>7. Cronk, T. C. 1994. The Historic Evolution of HACCP - Better questions, safer foods. Food Drug Law J 49:485–492.</w:t>
      </w:r>
    </w:p>
    <w:p w14:paraId="00000079" w14:textId="77777777" w:rsidR="00A014FB" w:rsidRDefault="00214A31" w:rsidP="0080252A">
      <w:pPr>
        <w:pStyle w:val="Normal1"/>
        <w:spacing w:line="480" w:lineRule="auto"/>
        <w:ind w:left="270" w:hanging="270"/>
        <w:rPr>
          <w:rFonts w:ascii="Times New Roman" w:eastAsia="Times New Roman" w:hAnsi="Times New Roman" w:cs="Times New Roman"/>
          <w:sz w:val="24"/>
          <w:szCs w:val="24"/>
        </w:rPr>
      </w:pPr>
      <w:r>
        <w:rPr>
          <w:rFonts w:ascii="Times New Roman" w:eastAsia="Times New Roman" w:hAnsi="Times New Roman" w:cs="Times New Roman"/>
          <w:sz w:val="24"/>
          <w:szCs w:val="24"/>
        </w:rPr>
        <w:t>8. Denny, M. D. 2020. Undergraduate Apprenticeship Program | Mississippi State University Extension Service. Available at http://extension.msstate.edu/apprentice. Accessed 14 April 2020.</w:t>
      </w:r>
    </w:p>
    <w:p w14:paraId="0000007A"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Diaz, J., A. K. Chaudhary, , K. S. U. Jayaratne, K. S. U., and L. A. Warner. (2019). Program evaluation challenges and obstacles faced by new Extension agents: Implications for capacity building. </w:t>
      </w:r>
      <w:r>
        <w:rPr>
          <w:rFonts w:ascii="Times New Roman" w:eastAsia="Times New Roman" w:hAnsi="Times New Roman" w:cs="Times New Roman"/>
          <w:i/>
          <w:sz w:val="24"/>
          <w:szCs w:val="24"/>
        </w:rPr>
        <w:t>J. Ext.</w:t>
      </w:r>
      <w:r>
        <w:rPr>
          <w:rFonts w:ascii="Times New Roman" w:eastAsia="Times New Roman" w:hAnsi="Times New Roman" w:cs="Times New Roman"/>
          <w:sz w:val="24"/>
          <w:szCs w:val="24"/>
        </w:rPr>
        <w:t xml:space="preserve"> 57: 26.</w:t>
      </w:r>
    </w:p>
    <w:p w14:paraId="0000007B"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 Oruc, D. E., S. Pokharel, R. C. Anantheswaran, M. W.Bucknavage, H. Gourama, O. Shanina, and C. N. Cutter. 2020. A comprehensive food safety short course (FSSC) improves food safety knowledge, behaviors, attitudes, and skills of Ukrainian participants. </w:t>
      </w:r>
      <w:r>
        <w:rPr>
          <w:rFonts w:ascii="Times New Roman" w:eastAsia="Times New Roman" w:hAnsi="Times New Roman" w:cs="Times New Roman"/>
          <w:i/>
          <w:sz w:val="24"/>
          <w:szCs w:val="24"/>
        </w:rPr>
        <w:t>J. Food Sci. Educ.</w:t>
      </w:r>
      <w:r>
        <w:rPr>
          <w:rFonts w:ascii="Times New Roman" w:eastAsia="Times New Roman" w:hAnsi="Times New Roman" w:cs="Times New Roman"/>
          <w:sz w:val="24"/>
          <w:szCs w:val="24"/>
        </w:rPr>
        <w:t xml:space="preserve"> 19:263–277.</w:t>
      </w:r>
    </w:p>
    <w:p w14:paraId="0000007C"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11. Fischer, K. 2009. Economy forces land-grant universities to reshape extension work. The Chronicle of Higher Education. Available at https://www.chronicle.com/article/economy-forces-land-grant-universities-to-reshape-extension-work/.</w:t>
      </w:r>
    </w:p>
    <w:p w14:paraId="0000007D"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12. Gorgo-Gourovitch, M. 2019. Bilingual Produce Safety Education. PennState Extension. Available at https://extension.psu.edu/bilingual-produce-safety-education#section-28. Accessed 14 April 2020.</w:t>
      </w:r>
    </w:p>
    <w:p w14:paraId="0000007E"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13. Hopper, B. 2016. Welcome to Our New Area Specialized Agents (ASAs). NC State Ext Hortic Sci News. Available at https://cals.ncsu.edu/horticultural-science/news/welcome-to-our-new-area-specialized-agents-asas/. Accessed 30 March 2020.</w:t>
      </w:r>
    </w:p>
    <w:p w14:paraId="0000007F" w14:textId="77777777" w:rsidR="00A014FB" w:rsidRDefault="00214A31" w:rsidP="0080252A">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 Institute for Food Safety at Cornell University. 2021. Food Industry Guidance on COVID-19. Available at https://instituteforfoodsafety.cornell.edu/coronavirus-covid-19/food-industry-resources/food-industry-guidance/. Accessed 11 August 2021.</w:t>
      </w:r>
    </w:p>
    <w:p w14:paraId="00000080" w14:textId="3067D8D8" w:rsidR="00A014FB" w:rsidRDefault="00214A31" w:rsidP="0080252A">
      <w:pPr>
        <w:pStyle w:val="Normal1"/>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15. Johnston, L., and C. Nobles. 2017. Who to </w:t>
      </w:r>
      <w:r w:rsidR="00314FD6">
        <w:rPr>
          <w:rFonts w:ascii="Times New Roman" w:eastAsia="Times New Roman" w:hAnsi="Times New Roman" w:cs="Times New Roman"/>
          <w:sz w:val="24"/>
          <w:szCs w:val="24"/>
        </w:rPr>
        <w:t>Contact</w:t>
      </w:r>
      <w:r>
        <w:rPr>
          <w:rFonts w:ascii="Times New Roman" w:eastAsia="Times New Roman" w:hAnsi="Times New Roman" w:cs="Times New Roman"/>
          <w:sz w:val="24"/>
          <w:szCs w:val="24"/>
        </w:rPr>
        <w:t xml:space="preserve">: Preventive </w:t>
      </w:r>
      <w:r w:rsidR="00314FD6">
        <w:rPr>
          <w:rFonts w:ascii="Times New Roman" w:eastAsia="Times New Roman" w:hAnsi="Times New Roman" w:cs="Times New Roman"/>
          <w:sz w:val="24"/>
          <w:szCs w:val="24"/>
        </w:rPr>
        <w:t xml:space="preserve">Controls </w:t>
      </w:r>
      <w:r>
        <w:rPr>
          <w:rFonts w:ascii="Times New Roman" w:eastAsia="Times New Roman" w:hAnsi="Times New Roman" w:cs="Times New Roman"/>
          <w:sz w:val="24"/>
          <w:szCs w:val="24"/>
        </w:rPr>
        <w:t xml:space="preserve">for </w:t>
      </w:r>
      <w:r w:rsidR="00314FD6">
        <w:rPr>
          <w:rFonts w:ascii="Times New Roman" w:eastAsia="Times New Roman" w:hAnsi="Times New Roman" w:cs="Times New Roman"/>
          <w:sz w:val="24"/>
          <w:szCs w:val="24"/>
        </w:rPr>
        <w:t>Human Food</w:t>
      </w:r>
      <w:r>
        <w:rPr>
          <w:rFonts w:ascii="Times New Roman" w:eastAsia="Times New Roman" w:hAnsi="Times New Roman" w:cs="Times New Roman"/>
          <w:sz w:val="24"/>
          <w:szCs w:val="24"/>
        </w:rPr>
        <w:t>. NC State Extension: Food Safety Modernization Act. Available at https://ncfsma.ces.ncsu.edu/2017/02/nc-extension-agents-now-serving-food-manufacturers/. Accessed 30 March 2020.</w:t>
      </w:r>
    </w:p>
    <w:p w14:paraId="00000081" w14:textId="73505320"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16. Loizzo, J., and P. Lillard2015. In the Field: Increasing Undergraduate Students’ Awareness of Extension Through a Blended Project-Based Multimedia Production Course. </w:t>
      </w:r>
      <w:r>
        <w:rPr>
          <w:rFonts w:ascii="Times New Roman" w:eastAsia="Times New Roman" w:hAnsi="Times New Roman" w:cs="Times New Roman"/>
          <w:i/>
          <w:sz w:val="24"/>
          <w:szCs w:val="24"/>
        </w:rPr>
        <w:t>J. Ext.</w:t>
      </w:r>
      <w:r>
        <w:rPr>
          <w:rFonts w:ascii="Times New Roman" w:eastAsia="Times New Roman" w:hAnsi="Times New Roman" w:cs="Times New Roman"/>
          <w:sz w:val="24"/>
          <w:szCs w:val="24"/>
        </w:rPr>
        <w:t xml:space="preserve"> 53.</w:t>
      </w:r>
    </w:p>
    <w:p w14:paraId="00000082"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17. Mercer, M. 2014. Cooperative Extension reinvents itself for the 21st century. The Pew Charitable Trusts. Philadelphia, PA. Available at https://www.pewtrusts.org/en/research-and-analysis/blogs/stateline/2014/09/09/cooperative-extension-reinvents-itself-for-the-21st-century. Accessed 14 April 2020.</w:t>
      </w:r>
    </w:p>
    <w:p w14:paraId="00000083"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18. Merriam-Webster. "Revitalize." Merriam-Webster.com Dict. Available at https://www.merriam-webster.com/dictionary/revitalize.</w:t>
      </w:r>
    </w:p>
    <w:p w14:paraId="00000084"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19. Michigan State University Center for Low-Moisture Food Safety. Diversity, Equity, and Inclusion. Available at https://www.canr.msu.edu/lowmoisture/dei. Accessed 30 June 2021.</w:t>
      </w:r>
    </w:p>
    <w:p w14:paraId="00000085"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20. National Institute of Food and Agriculture. 2017. Extension. Available at https://nifa.usda.gov/extension. Accessed 12 January 2020</w:t>
      </w:r>
    </w:p>
    <w:p w14:paraId="00000086"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21. National Research Council and The Committee on the Future of the Colleges of Agriculture in the Land Grant University System. 1995. The shifting base of financial support for land grant college research and Extension, p. 75–82. In Colleges of Agriculture at the Land Grant Universities. National Academies Press, Washington, D.C.</w:t>
      </w:r>
    </w:p>
    <w:p w14:paraId="00000087"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22. National Research Council, Board on Agriculture, and Committee on the Future of the Colleges of Agriculture in the Land Grant University System. 1995. The evolution of extension at the land grant colleges of agriculture, p. 67–74. In Colleges of Agriculture at the Land Grant Universities. National Academy Press, Washington, D.C.</w:t>
      </w:r>
    </w:p>
    <w:p w14:paraId="00000088"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23. NC State Extension: Food Safety. Meet Our Staff. Available at https://foodsafety.ces.ncsu.edu/people/. Accessed 30 March 2020.</w:t>
      </w:r>
    </w:p>
    <w:p w14:paraId="00000089"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24. NC State Extension: Food Safety. Safe Plates home page. Available at https://foodsafety.ces.ncsu.edu/safe-plates-5/. Accessed 13 June 2021.</w:t>
      </w:r>
    </w:p>
    <w:p w14:paraId="0000008A"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25. Penn State College of Agricultural Sciences. 2020. Food Safety Systems Management (FSSM), InnovATE Armenia. Available at https://agsci.psu.edu/global/ifsi/projects/food-safety-systems-management-fssm-innovate-armenia. Accessed 14 April 2020.</w:t>
      </w:r>
    </w:p>
    <w:p w14:paraId="0000008B"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26. Penn State College of Agricultural Sciences. 2020. IFSI Projects. Available at https://agsci.psu.edu/global/ifsi/projects. Accessed 14 April 2020.</w:t>
      </w:r>
    </w:p>
    <w:p w14:paraId="0000008C"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27. Penn State Extension. Coronavirus / COVID-19 Information. Available at https://extension.psu.edu/coronavirus. Accessed 30 June 2021.</w:t>
      </w:r>
    </w:p>
    <w:p w14:paraId="0000008D"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 Pokharel, S., J. E. Marcy, A. M. Neilan, and C. N. Cutter. 2017. Development, Dissemination, and Assessment of a Food Safety Systems Management Curriculum for Agribusiness Students in Armenia. </w:t>
      </w:r>
      <w:r>
        <w:rPr>
          <w:rFonts w:ascii="Times New Roman" w:eastAsia="Times New Roman" w:hAnsi="Times New Roman" w:cs="Times New Roman"/>
          <w:i/>
          <w:sz w:val="24"/>
          <w:szCs w:val="24"/>
        </w:rPr>
        <w:t>J. Food Sci. Educ.</w:t>
      </w:r>
      <w:r>
        <w:rPr>
          <w:rFonts w:ascii="Times New Roman" w:eastAsia="Times New Roman" w:hAnsi="Times New Roman" w:cs="Times New Roman"/>
          <w:sz w:val="24"/>
          <w:szCs w:val="24"/>
        </w:rPr>
        <w:t xml:space="preserve"> 16:107–117.</w:t>
      </w:r>
    </w:p>
    <w:p w14:paraId="0000008E"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29. Produce Safety Alliance. 2020. Project milestones. Available at https://producesafetyalliance.cornell.edu/alliance/project-milestones/. Accessed 14 April 2020.</w:t>
      </w:r>
    </w:p>
    <w:p w14:paraId="0000008F"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30. Produce Safety Alliance. 2020. PSA en Español. Available at http://es.producesafetyalliance.cornell.edu. Accessed 14 April 2020.</w:t>
      </w:r>
    </w:p>
    <w:p w14:paraId="00000090"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31. Produce Safety Alliance. 2020. Trainer Directory. Available at https://resources.producesafetyalliance.cornell.edu/directory/index.php?firstname=&amp;lastname=&amp;business=&amp;language=Spanish&amp;state=&amp;country=&amp;trainer=%27tot%27&amp;submit=Submit. Accessed 14 April 2020.</w:t>
      </w:r>
    </w:p>
    <w:p w14:paraId="00000091"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32. Produce Safety Alliance. 2021. Cooperative agreement. Available at https://producesafetyalliance.cornell.edu/alliance/. Accessed 21 June 2021.</w:t>
      </w:r>
    </w:p>
    <w:p w14:paraId="00000092"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33. Produce Safety Alliance. 2021. Gower Training Course. Available at https://producesafetyalliance.cornell.edu/training/grower-training-courses/. Accessed 30 June 2021.</w:t>
      </w:r>
    </w:p>
    <w:p w14:paraId="00000093"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34. Produce Safety Alliance. 2021. Training reports: totals through March 31, 2021. Available at https://producesafetyalliance.cornell.edu/training/training-reports/. Accessed 06 Jun 2021.</w:t>
      </w:r>
    </w:p>
    <w:p w14:paraId="00000094"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35. Safe Plates Food Safety Information Center [@SafePlatesFSIC]. 2020 June 3. (1/2) We do the work that we do because ultimately, we believe that all people deserve to be safe, to [Tweet]. https://twitter.com/SafePlatesFSIC/status/1268187827029893121.</w:t>
      </w:r>
    </w:p>
    <w:p w14:paraId="00000095"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36. Safe Plates Food Safety Information Center [@SafePlatesFSIC]. 2021 April 22. April is #CelebrateDiversityMonth. We think it's important to be transparent with our followers the steps the Safe Plates team is [Tweet]. https://mobile.twitter.com/SafePlatesFSIC/status/1385307581640593418.</w:t>
      </w:r>
    </w:p>
    <w:p w14:paraId="00000096"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37. ServSafe homepage. 2021. Available at https://www.servsafe.com/. Accessed 13 June 2021.</w:t>
      </w:r>
    </w:p>
    <w:p w14:paraId="00000097"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38. Thomas, E. and B. Chapman  2014. The Role of Cooperative Extension in Food Safety. Available at https://www.foodsafetynews.com/2014/10/the-role-of-cooperative-extension-in-food-safety/. Accessed 13 June 2021.</w:t>
      </w:r>
    </w:p>
    <w:p w14:paraId="00000098"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39. United States Department of Agriculture Climate Hubs. 2020. In crisis, Cooperative Extension is more important than ever. Available at https://www.climatehubs.usda.gov/hubs/northeast/news/crisis-cooperative-extension-more-important-ever. Accessed 19 July 2020.</w:t>
      </w:r>
    </w:p>
    <w:p w14:paraId="00000099"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40. United States 111th Congress. 2011. United States Food and Drug Administration Food Safety Modernization Act, Pub. L. No. 111-353, H.R. 2751</w:t>
      </w:r>
    </w:p>
    <w:p w14:paraId="0000009A"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41. United States Food and Drug Administration. 2017. FDA Food Code - 2017. Chapter 2 Management and Personnel; Part 2-1 Supervision; Subparts 2-101 Responsibility and 2-102 Knowledge FDA Food Code.</w:t>
      </w:r>
    </w:p>
    <w:p w14:paraId="0000009B"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42. United States Food and Drug Administration. 2018. Guidance for industry: guide to minimize microbial food safety hazards of fresh-cut fruits and vegetables. Available at https://www.fda.gov/regulatory-information/search-fda-guidance-documents/guidance-</w:t>
      </w:r>
      <w:r>
        <w:rPr>
          <w:rFonts w:ascii="Times New Roman" w:eastAsia="Times New Roman" w:hAnsi="Times New Roman" w:cs="Times New Roman"/>
          <w:sz w:val="24"/>
          <w:szCs w:val="24"/>
        </w:rPr>
        <w:lastRenderedPageBreak/>
        <w:t>industry-guide-minimize-microbial-food-safety-hazards-fresh-cut-fruits-and-vegetables. Accessed 14 April 2020.</w:t>
      </w:r>
    </w:p>
    <w:p w14:paraId="0000009C"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43. United States Food and Drug Administration. 2018. Summary of changes in the FDA Food Code 2017. Available at https://www.fda.gov/food/fda-food-code/summary-changes-fda-food-code-2017. Accessed 30 March 2020.</w:t>
      </w:r>
    </w:p>
    <w:p w14:paraId="0000009D"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44. United States Food and Drug Administration. 2021. Food Safety Modernization Act (FSMA). Available at https://www.fda.gov/food/guidance-regulation-food-and-dietary-supplements/food-safety-modernization-act-fsma. Accessed 14 April 2020.</w:t>
      </w:r>
    </w:p>
    <w:p w14:paraId="0000009E"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45. Virginia Cooperative Extension. 2020. Extension Master Gardener Program. Available at https://ext.vt.edu/lawn-garden/master-gardener.html. Accessed 14 April 2020.</w:t>
      </w:r>
    </w:p>
    <w:p w14:paraId="0000009F"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46. Virginia Cooperative Extension. 2020. Master Food Volunteer Program. Available at https://ext.vt.edu/food-health/master-food-volunteer.html. Accessed 14 April 2020.</w:t>
      </w:r>
    </w:p>
    <w:p w14:paraId="000000A0"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47. Virginia Cooperative Extension. 2021. VCE COVID-19 Resources. Available at https://ext.vt.edu/covid-19updates/resources.html. Accessed 12 August 2021.</w:t>
      </w:r>
    </w:p>
    <w:p w14:paraId="000000A1" w14:textId="77777777" w:rsidR="00A014FB" w:rsidRDefault="00214A31" w:rsidP="0080252A">
      <w:pPr>
        <w:pStyle w:val="Normal1"/>
        <w:spacing w:line="48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48. Virginia Tech. 2021. Department of Agricultural, Leadership, and Community Education: Crystal Tyler-Mackey. Available at https://www.alce.vt.edu/about/people/tyler-mackey.html.Accessed.html. Accessed 30 June 2021.</w:t>
      </w:r>
    </w:p>
    <w:p w14:paraId="000000A2" w14:textId="77777777" w:rsidR="00A014FB" w:rsidRDefault="00214A31" w:rsidP="0080252A">
      <w:pPr>
        <w:pStyle w:val="Normal1"/>
        <w:spacing w:line="480" w:lineRule="auto"/>
        <w:ind w:left="450" w:hanging="450"/>
        <w:rPr>
          <w:rFonts w:ascii="Times New Roman" w:eastAsia="Times New Roman" w:hAnsi="Times New Roman" w:cs="Times New Roman"/>
          <w:sz w:val="24"/>
          <w:szCs w:val="24"/>
        </w:rPr>
      </w:pPr>
      <w:r>
        <w:rPr>
          <w:rFonts w:ascii="Times New Roman" w:eastAsia="Times New Roman" w:hAnsi="Times New Roman" w:cs="Times New Roman"/>
          <w:sz w:val="24"/>
          <w:szCs w:val="24"/>
        </w:rPr>
        <w:t>49. Walsingham T. International HACCP Alliance. Available at http://www.haccpalliance.org/sub/index.html. Accessed 14 April 2020.</w:t>
      </w:r>
    </w:p>
    <w:p w14:paraId="000000A3" w14:textId="77777777" w:rsidR="00A014FB" w:rsidRDefault="00214A31" w:rsidP="0080252A">
      <w:pPr>
        <w:pStyle w:val="Normal1"/>
        <w:spacing w:line="480" w:lineRule="auto"/>
        <w:ind w:left="450" w:hanging="450"/>
        <w:rPr>
          <w:rFonts w:ascii="Times New Roman" w:eastAsia="Times New Roman" w:hAnsi="Times New Roman" w:cs="Times New Roman"/>
          <w:sz w:val="24"/>
          <w:szCs w:val="24"/>
        </w:rPr>
      </w:pPr>
      <w:r>
        <w:rPr>
          <w:rFonts w:ascii="Times New Roman" w:eastAsia="Times New Roman" w:hAnsi="Times New Roman" w:cs="Times New Roman"/>
          <w:sz w:val="24"/>
          <w:szCs w:val="24"/>
        </w:rPr>
        <w:t>50. Wang, S.L. 2014. Cooperative Extension System: Trends and economic impacts on U.S. agriculture. Choices. 29:1-8.</w:t>
      </w:r>
    </w:p>
    <w:p w14:paraId="000000A7" w14:textId="5038D9DD" w:rsidR="00A014FB" w:rsidRDefault="00214A31" w:rsidP="0080252A">
      <w:pPr>
        <w:pStyle w:val="Normal1"/>
        <w:spacing w:line="480" w:lineRule="auto"/>
        <w:ind w:left="450" w:hanging="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51. Weinroth, M. D., A. D. Belk, and K. E. Belk. 2018. History, development, and current status of food safety systems worldwide. </w:t>
      </w:r>
      <w:r>
        <w:rPr>
          <w:rFonts w:ascii="Times New Roman" w:eastAsia="Times New Roman" w:hAnsi="Times New Roman" w:cs="Times New Roman"/>
          <w:i/>
          <w:sz w:val="24"/>
          <w:szCs w:val="24"/>
        </w:rPr>
        <w:t>Anim. Front.</w:t>
      </w:r>
      <w:r>
        <w:rPr>
          <w:rFonts w:ascii="Times New Roman" w:eastAsia="Times New Roman" w:hAnsi="Times New Roman" w:cs="Times New Roman"/>
          <w:sz w:val="24"/>
          <w:szCs w:val="24"/>
        </w:rPr>
        <w:t xml:space="preserve"> 8:9–15.</w:t>
      </w:r>
    </w:p>
    <w:sectPr w:rsidR="00A014FB" w:rsidSect="00473313">
      <w:footerReference w:type="even" r:id="rId7"/>
      <w:footerReference w:type="default" r:id="rId8"/>
      <w:pgSz w:w="12240" w:h="15840"/>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780155" w14:textId="77777777" w:rsidR="00300B4D" w:rsidRDefault="00300B4D">
      <w:pPr>
        <w:spacing w:line="240" w:lineRule="auto"/>
      </w:pPr>
      <w:r>
        <w:separator/>
      </w:r>
    </w:p>
  </w:endnote>
  <w:endnote w:type="continuationSeparator" w:id="0">
    <w:p w14:paraId="573D0E07" w14:textId="77777777" w:rsidR="00300B4D" w:rsidRDefault="00300B4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notTrueType/>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AA" w14:textId="77777777" w:rsidR="00A014FB" w:rsidRDefault="00214A31">
    <w:pPr>
      <w:pStyle w:val="Normal1"/>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Pr>
        <w:color w:val="000000"/>
      </w:rPr>
      <w:fldChar w:fldCharType="end"/>
    </w:r>
  </w:p>
  <w:p w14:paraId="000000AB" w14:textId="77777777" w:rsidR="00A014FB" w:rsidRDefault="00A014FB">
    <w:pPr>
      <w:pStyle w:val="Normal1"/>
      <w:pBdr>
        <w:top w:val="nil"/>
        <w:left w:val="nil"/>
        <w:bottom w:val="nil"/>
        <w:right w:val="nil"/>
        <w:between w:val="nil"/>
      </w:pBdr>
      <w:tabs>
        <w:tab w:val="center" w:pos="4680"/>
        <w:tab w:val="right" w:pos="9360"/>
      </w:tabs>
      <w:spacing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A8" w14:textId="77777777" w:rsidR="00A014FB" w:rsidRDefault="00214A31">
    <w:pPr>
      <w:pStyle w:val="Normal1"/>
      <w:pBdr>
        <w:top w:val="nil"/>
        <w:left w:val="nil"/>
        <w:bottom w:val="nil"/>
        <w:right w:val="nil"/>
        <w:between w:val="nil"/>
      </w:pBdr>
      <w:tabs>
        <w:tab w:val="center" w:pos="4680"/>
        <w:tab w:val="right" w:pos="9360"/>
      </w:tabs>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25</w:t>
    </w:r>
    <w:r>
      <w:rPr>
        <w:rFonts w:ascii="Times New Roman" w:eastAsia="Times New Roman" w:hAnsi="Times New Roman" w:cs="Times New Roman"/>
        <w:color w:val="000000"/>
        <w:sz w:val="24"/>
        <w:szCs w:val="24"/>
      </w:rPr>
      <w:fldChar w:fldCharType="end"/>
    </w:r>
  </w:p>
  <w:p w14:paraId="000000A9" w14:textId="77777777" w:rsidR="00A014FB" w:rsidRDefault="00A014FB">
    <w:pPr>
      <w:pStyle w:val="Normal1"/>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91A000" w14:textId="77777777" w:rsidR="00300B4D" w:rsidRDefault="00300B4D">
      <w:pPr>
        <w:spacing w:line="240" w:lineRule="auto"/>
      </w:pPr>
      <w:r>
        <w:separator/>
      </w:r>
    </w:p>
  </w:footnote>
  <w:footnote w:type="continuationSeparator" w:id="0">
    <w:p w14:paraId="49708B31" w14:textId="77777777" w:rsidR="00300B4D" w:rsidRDefault="00300B4D">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14FB"/>
    <w:rsid w:val="001E095D"/>
    <w:rsid w:val="00214A31"/>
    <w:rsid w:val="002D0E7E"/>
    <w:rsid w:val="00300B4D"/>
    <w:rsid w:val="00314FD6"/>
    <w:rsid w:val="004130CB"/>
    <w:rsid w:val="00473313"/>
    <w:rsid w:val="00504377"/>
    <w:rsid w:val="006F0DE6"/>
    <w:rsid w:val="0080252A"/>
    <w:rsid w:val="00A014FB"/>
    <w:rsid w:val="00B30238"/>
    <w:rsid w:val="00CB0EDE"/>
    <w:rsid w:val="00D42991"/>
    <w:rsid w:val="00D433C3"/>
    <w:rsid w:val="00D81F1C"/>
    <w:rsid w:val="00DE0A02"/>
    <w:rsid w:val="00FF62D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BB8618B"/>
  <w15:docId w15:val="{314E8594-3946-3E42-8A0B-11107BEF32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1"/>
    <w:next w:val="Normal1"/>
    <w:pPr>
      <w:keepNext/>
      <w:keepLines/>
      <w:spacing w:before="400" w:after="120"/>
      <w:outlineLvl w:val="0"/>
    </w:pPr>
    <w:rPr>
      <w:sz w:val="40"/>
      <w:szCs w:val="40"/>
    </w:rPr>
  </w:style>
  <w:style w:type="paragraph" w:styleId="Heading2">
    <w:name w:val="heading 2"/>
    <w:basedOn w:val="Normal1"/>
    <w:next w:val="Normal1"/>
    <w:pPr>
      <w:keepNext/>
      <w:keepLines/>
      <w:spacing w:before="360" w:after="120"/>
      <w:outlineLvl w:val="1"/>
    </w:pPr>
    <w:rPr>
      <w:sz w:val="32"/>
      <w:szCs w:val="32"/>
    </w:rPr>
  </w:style>
  <w:style w:type="paragraph" w:styleId="Heading3">
    <w:name w:val="heading 3"/>
    <w:basedOn w:val="Normal1"/>
    <w:next w:val="Normal1"/>
    <w:pPr>
      <w:keepNext/>
      <w:keepLines/>
      <w:spacing w:before="320" w:after="80"/>
      <w:outlineLvl w:val="2"/>
    </w:pPr>
    <w:rPr>
      <w:color w:val="434343"/>
      <w:sz w:val="28"/>
      <w:szCs w:val="28"/>
    </w:rPr>
  </w:style>
  <w:style w:type="paragraph" w:styleId="Heading4">
    <w:name w:val="heading 4"/>
    <w:basedOn w:val="Normal1"/>
    <w:next w:val="Normal1"/>
    <w:pPr>
      <w:keepNext/>
      <w:keepLines/>
      <w:spacing w:before="280" w:after="80"/>
      <w:outlineLvl w:val="3"/>
    </w:pPr>
    <w:rPr>
      <w:color w:val="666666"/>
      <w:sz w:val="24"/>
      <w:szCs w:val="24"/>
    </w:rPr>
  </w:style>
  <w:style w:type="paragraph" w:styleId="Heading5">
    <w:name w:val="heading 5"/>
    <w:basedOn w:val="Normal1"/>
    <w:next w:val="Normal1"/>
    <w:pPr>
      <w:keepNext/>
      <w:keepLines/>
      <w:spacing w:before="240" w:after="80"/>
      <w:outlineLvl w:val="4"/>
    </w:pPr>
    <w:rPr>
      <w:color w:val="666666"/>
    </w:rPr>
  </w:style>
  <w:style w:type="paragraph" w:styleId="Heading6">
    <w:name w:val="heading 6"/>
    <w:basedOn w:val="Normal1"/>
    <w:next w:val="Normal1"/>
    <w:pPr>
      <w:keepNext/>
      <w:keepLines/>
      <w:spacing w:before="240" w:after="80"/>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after="60"/>
    </w:pPr>
    <w:rPr>
      <w:sz w:val="52"/>
      <w:szCs w:val="52"/>
    </w:rPr>
  </w:style>
  <w:style w:type="paragraph" w:styleId="Subtitle">
    <w:name w:val="Subtitle"/>
    <w:basedOn w:val="Normal1"/>
    <w:next w:val="Normal1"/>
    <w:pPr>
      <w:keepNext/>
      <w:keepLines/>
      <w:spacing w:after="320"/>
    </w:pPr>
    <w:rPr>
      <w:color w:val="666666"/>
      <w:sz w:val="30"/>
      <w:szCs w:val="30"/>
    </w:rPr>
  </w:style>
  <w:style w:type="character" w:styleId="LineNumber">
    <w:name w:val="line number"/>
    <w:basedOn w:val="DefaultParagraphFont"/>
    <w:uiPriority w:val="99"/>
    <w:semiHidden/>
    <w:unhideWhenUsed/>
    <w:rsid w:val="00214A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72749">
      <w:bodyDiv w:val="1"/>
      <w:marLeft w:val="0"/>
      <w:marRight w:val="0"/>
      <w:marTop w:val="0"/>
      <w:marBottom w:val="0"/>
      <w:divBdr>
        <w:top w:val="none" w:sz="0" w:space="0" w:color="auto"/>
        <w:left w:val="none" w:sz="0" w:space="0" w:color="auto"/>
        <w:bottom w:val="none" w:sz="0" w:space="0" w:color="auto"/>
        <w:right w:val="none" w:sz="0" w:space="0" w:color="auto"/>
      </w:divBdr>
    </w:div>
    <w:div w:id="63720243">
      <w:bodyDiv w:val="1"/>
      <w:marLeft w:val="0"/>
      <w:marRight w:val="0"/>
      <w:marTop w:val="0"/>
      <w:marBottom w:val="0"/>
      <w:divBdr>
        <w:top w:val="none" w:sz="0" w:space="0" w:color="auto"/>
        <w:left w:val="none" w:sz="0" w:space="0" w:color="auto"/>
        <w:bottom w:val="none" w:sz="0" w:space="0" w:color="auto"/>
        <w:right w:val="none" w:sz="0" w:space="0" w:color="auto"/>
      </w:divBdr>
    </w:div>
    <w:div w:id="134839125">
      <w:bodyDiv w:val="1"/>
      <w:marLeft w:val="0"/>
      <w:marRight w:val="0"/>
      <w:marTop w:val="0"/>
      <w:marBottom w:val="0"/>
      <w:divBdr>
        <w:top w:val="none" w:sz="0" w:space="0" w:color="auto"/>
        <w:left w:val="none" w:sz="0" w:space="0" w:color="auto"/>
        <w:bottom w:val="none" w:sz="0" w:space="0" w:color="auto"/>
        <w:right w:val="none" w:sz="0" w:space="0" w:color="auto"/>
      </w:divBdr>
    </w:div>
    <w:div w:id="453062825">
      <w:bodyDiv w:val="1"/>
      <w:marLeft w:val="0"/>
      <w:marRight w:val="0"/>
      <w:marTop w:val="0"/>
      <w:marBottom w:val="0"/>
      <w:divBdr>
        <w:top w:val="none" w:sz="0" w:space="0" w:color="auto"/>
        <w:left w:val="none" w:sz="0" w:space="0" w:color="auto"/>
        <w:bottom w:val="none" w:sz="0" w:space="0" w:color="auto"/>
        <w:right w:val="none" w:sz="0" w:space="0" w:color="auto"/>
      </w:divBdr>
    </w:div>
    <w:div w:id="14774540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2E9065-2790-A446-9135-EDD5E89382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27</Pages>
  <Words>7054</Words>
  <Characters>40212</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
    </vt:vector>
  </TitlesOfParts>
  <Company>Virginia Tech</Company>
  <LinksUpToDate>false</LinksUpToDate>
  <CharactersWithSpaces>47172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Arnold, Nicole L</cp:lastModifiedBy>
  <cp:revision>2</cp:revision>
  <dcterms:created xsi:type="dcterms:W3CDTF">2021-10-16T14:12:00Z</dcterms:created>
  <dcterms:modified xsi:type="dcterms:W3CDTF">2021-10-16T14:12:00Z</dcterms:modified>
</cp:coreProperties>
</file>